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6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4626280</wp:posOffset>
                </wp:positionH>
                <wp:positionV relativeFrom="paragraph">
                  <wp:posOffset>-692785</wp:posOffset>
                </wp:positionV>
                <wp:extent cx="1812925" cy="672465"/>
                <wp:effectExtent l="0" t="0" r="0" b="0"/>
                <wp:wrapNone/>
                <wp:docPr id="1" name="Grafik 1" descr="C:\Users\Niklas\Desktop\TUBraunschweig_CO_100vH_300dpi_jpg\TUBraunschweig_CO_100vH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klas\Desktop\TUBraunschweig_CO_100vH_300dpi_jpg\TUBraunschweig_CO_100vH_300dpi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8129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364.3pt;mso-position-horizontal:absolute;mso-position-vertical-relative:text;margin-top:-54.5pt;mso-position-vertical:absolute;width:142.8pt;height:52.9pt;" stroked="f">
                <v:path textboxrect="0,0,0,0"/>
                <v:imagedata r:id="rId11" o:title=""/>
              </v:shape>
            </w:pict>
          </mc:Fallback>
        </mc:AlternateContent>
      </w:r>
    </w:p>
    <w:p>
      <w:pPr>
        <w:spacing w:line="72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Anhang 1: Checkliste zum IT-Verfahren gemäß IT-Rahmen-DV</w:t>
      </w:r>
    </w:p>
    <w:p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Basisinformationen zum IT-Verfahren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  <w:sz w:val="18"/>
          <w:szCs w:val="18"/>
        </w:rPr>
        <w:t>(ggf. aus Projektsteckbrief übernehmen)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des IT-Verfahrens: </w:t>
            </w:r>
          </w:p>
          <w:p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[DOKUMENTTITEL]</w:t>
            </w: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Zielsetzung:</w:t>
            </w:r>
          </w:p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Nicht-Ziele (Abgrenzung):</w:t>
            </w:r>
          </w:p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Rechtliche Grundlage: </w:t>
            </w:r>
          </w:p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 Organisationseinheit (OE)</w:t>
            </w: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Ansprechpartner in der OE: 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(Name, E-Mail, Telefon)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organisatorisch: </w:t>
            </w:r>
          </w:p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technisch: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Welche </w:t>
            </w:r>
            <w:proofErr w:type="spellStart"/>
            <w:r>
              <w:rPr>
                <w:rFonts w:ascii="Arial" w:hAnsi="Arial" w:cs="Arial"/>
                <w:b/>
              </w:rPr>
              <w:t>OEn</w:t>
            </w:r>
            <w:proofErr w:type="spellEnd"/>
            <w:r>
              <w:rPr>
                <w:rFonts w:ascii="Arial" w:hAnsi="Arial" w:cs="Arial"/>
                <w:b/>
              </w:rPr>
              <w:t xml:space="preserve"> sind betroffen: </w:t>
            </w:r>
          </w:p>
          <w:p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(Welche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setzen das IT-Verfahren ein.)</w:t>
            </w: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Abgebildete </w:t>
            </w:r>
            <w:proofErr w:type="gramStart"/>
            <w:r>
              <w:rPr>
                <w:rFonts w:ascii="Arial" w:hAnsi="Arial" w:cs="Arial"/>
                <w:b/>
              </w:rPr>
              <w:t>Prozesse :</w:t>
            </w:r>
            <w:proofErr w:type="gramEnd"/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(Beschreibende Kurzbezeichnungen, ggf. aus Betriebskonzept übernehmen. Falls zutreffend, muss eine mögliche Relevanz von §5 bis §8 der IT-Rahmen-DV erkennbar sein.)</w:t>
            </w:r>
          </w:p>
        </w:tc>
        <w:tc>
          <w:tcPr>
            <w:tcW w:w="53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3681" w:type="dxa"/>
          </w:tcPr>
          <w:p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Betriebskonzept: </w:t>
            </w:r>
          </w:p>
        </w:tc>
        <w:tc>
          <w:tcPr>
            <w:tcW w:w="538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Version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: X.X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vom: XX-XX-XXXX</w:t>
            </w:r>
          </w:p>
        </w:tc>
      </w:tr>
    </w:tbl>
    <w:p>
      <w:pPr>
        <w:spacing w:line="276" w:lineRule="auto"/>
        <w:rPr>
          <w:rFonts w:ascii="Arial" w:hAnsi="Arial" w:cs="Arial"/>
          <w:b/>
        </w:rPr>
      </w:pPr>
    </w:p>
    <w:p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IT-Verfahren anwendende Personenkreise der TU Braunschweig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946"/>
        </w:trPr>
        <w:tc>
          <w:tcPr>
            <w:tcW w:w="9062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Geltungsbereich des IT-Verfahrens gemäß §1 der IT-Rahmen-DV: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JaNein"/>
                <w:tag w:val="janein"/>
                <w:id w:val="14089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Für alle durch den Personalrat vertretenen Beschäftigten der TU Braunschweig</w:t>
            </w:r>
          </w:p>
          <w:p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JaNein"/>
                <w:tag w:val="janein"/>
                <w:id w:val="-18268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Für ehemalige Beschäftigte:</w:t>
            </w:r>
          </w:p>
          <w:p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JaNein"/>
                <w:tag w:val="janein"/>
                <w:id w:val="4184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Für Bewerbende:</w:t>
            </w:r>
          </w:p>
          <w:p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JaNein"/>
                <w:tag w:val="janein"/>
                <w:id w:val="12278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Für weitere Personenkreise</w:t>
            </w:r>
          </w:p>
        </w:tc>
        <w:bookmarkStart w:id="0" w:name="_GoBack"/>
        <w:bookmarkEnd w:id="0"/>
      </w:tr>
      <w:tr>
        <w:trPr>
          <w:trHeight w:val="1559"/>
        </w:trPr>
        <w:tc>
          <w:tcPr>
            <w:tcW w:w="9062" w:type="dxa"/>
            <w:gridSpan w:val="2"/>
          </w:tcPr>
          <w:p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Weitere Eingrenzung des betroffenen Personenkreises: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(Beispiel: wissenschaftliche Beschäftigte, studentische Hilfskräfte und das Sekretariat im &lt;OE&gt;)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25"/>
        </w:trPr>
        <w:tc>
          <w:tcPr>
            <w:tcW w:w="4531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der betroffenen </w:t>
            </w:r>
            <w:proofErr w:type="gramStart"/>
            <w:r>
              <w:rPr>
                <w:rFonts w:ascii="Arial" w:hAnsi="Arial" w:cs="Arial"/>
                <w:b/>
              </w:rPr>
              <w:t>Beschäftigten :</w:t>
            </w:r>
            <w:proofErr w:type="gramEnd"/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(z.B. ca. 10, 100, 3000, 30.000)</w:t>
            </w:r>
          </w:p>
        </w:tc>
        <w:tc>
          <w:tcPr>
            <w:tcW w:w="4531" w:type="dxa"/>
          </w:tcPr>
          <w:p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Auftragsdatenverarbeitungen, an dem IT-Verfahren beteiligte Dritte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067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 dem IT-Verfahren sind folgende Dritte beteiligt (inkl. Rolle der Dritten)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Zusatzvereinbarung(en) zu/r Auftragsverarbeitung(en): </w:t>
            </w:r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(Name, Version, Datum)</w:t>
            </w:r>
          </w:p>
        </w:tc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 Justitiariat (Abteilung 11) hat die Auftragsverarbeitungsverträge geprüft und freigegeben: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9500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957063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 mit Datum vom: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Datenschutzrechtliche Prüfung liegt vor und wird bestätigt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300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 wurde eine Datenschutz-Folgenabschätzung gemäß DSGVO und NDSG durchgeführt. Die geforderten Maßnahmen wurden umgesetzt.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1878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679008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1118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 wurde eine Verarbeitungstätigkeitsbeschreibung gemäß DSGVO und NDSG erstellt.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7217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592160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1118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Der/Die Datenschutzbeauftragte hat das IT-Verfahren geprüft und geforderte Maßnahmen wurden umgesetzt: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3868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2142607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Stellungnahme/Freigabe mit Datum vom:</w:t>
            </w:r>
          </w:p>
        </w:tc>
      </w:tr>
      <w:tr>
        <w:trPr>
          <w:trHeight w:val="1118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Das Datenschutzmanagement im Justitiariat (Abteilung 11) hat positiv geprüft &amp; den Eintrag im Verzeichnis der Verarbeitungstätigkeitsbeschreibungen freigegeben: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768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1051304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Stellungnahme/Freigabe mit Datum vom:</w:t>
            </w:r>
          </w:p>
        </w:tc>
      </w:tr>
      <w:tr>
        <w:trPr>
          <w:trHeight w:val="1118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Sonstige datenschutzrechtliche Regelungen: </w:t>
            </w:r>
          </w:p>
        </w:tc>
        <w:tc>
          <w:tcPr>
            <w:tcW w:w="4531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Löschkonzept, Löschung personenbezogener Daten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567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Eine Löschung personenbezogener Daten erfolgt gemäß des Löschkonzeptes, dokumentiert im Betriebskonzept: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4140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347371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567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Grundsatz der Datenminimierung (DSGVO Artikel 5) wird im Löschkonzept mit Löschfristen nach Datenkategorien festgelegt:</w:t>
            </w:r>
          </w:p>
        </w:tc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5037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308714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567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Löschfristen nach Datenkategorien stellen sich wie folgt dar: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(Eine Auflistung aus dem Betriebskonzept einfügen)</w:t>
            </w:r>
          </w:p>
        </w:tc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  <w:jc w:val="center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Das Betriebskonzept enthält einen Datenfeldkatalog: </w:t>
            </w:r>
          </w:p>
        </w:tc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11531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19099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Listenabsatz"/>
        <w:ind w:left="360"/>
        <w:rPr>
          <w:rFonts w:ascii="Arial" w:hAnsi="Arial" w:cs="Arial"/>
          <w:b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067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Ein Konzept für die Schulung der Beschäftigten liegt vor: 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4799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570166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 wurden für die folgenden Zielgruppen die benannten Schulungen und Anleitungen/Dokumentationen erstellt: </w:t>
            </w:r>
          </w:p>
          <w:p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(Liste Zielgruppe, Schulung, Anleitung/Dokumentation benennen &amp; ggf. als aufrufbarer Link einfügen)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Termine für die ersten Schulungen haben stattgefunden oder sind angekündigt: 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931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1654027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Erste Termine ab/am (Datum): </w:t>
            </w: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Begründung, wenn keine Schulungen stattfinden: 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(Ein Grund könnte sein, dass das IT-Verfahren in der Anwendung so niederschwellig ist, dass lediglich eine Anleitung bereitgestellt wird.)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Berechtigungskonzept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1067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Liegt ein Berechtigungskonzept vor: 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               Nein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-19733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JaNein"/>
                <w:tag w:val="janein"/>
                <w:id w:val="1158266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92"/>
        </w:trPr>
        <w:tc>
          <w:tcPr>
            <w:tcW w:w="453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Kurze Darstellung oder Begründung: </w:t>
            </w:r>
          </w:p>
        </w:tc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Quellsysteme (Datenquellen) für das IT-Verfahren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567"/>
        </w:trPr>
        <w:tc>
          <w:tcPr>
            <w:tcW w:w="9067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Zielsysteme (inkl. Ablageorte) für das IT-Verfahren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567"/>
        </w:trPr>
        <w:tc>
          <w:tcPr>
            <w:tcW w:w="9067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Listenabsatz"/>
        <w:ind w:left="360"/>
        <w:rPr>
          <w:rFonts w:ascii="Arial" w:hAnsi="Arial" w:cs="Arial"/>
          <w:b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Bestimmungen (soweit erforderlich)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3928"/>
        </w:trPr>
        <w:tc>
          <w:tcPr>
            <w:tcW w:w="9067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hRule="exact" w:val="1021"/>
        </w:trPr>
        <w:tc>
          <w:tcPr>
            <w:tcW w:w="453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Richtigkeit der Angaben:</w:t>
            </w:r>
          </w:p>
        </w:tc>
        <w:tc>
          <w:tcPr>
            <w:tcW w:w="4531" w:type="dxa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Leitung der betreibenden OE</w:t>
            </w:r>
          </w:p>
        </w:tc>
      </w:tr>
      <w:tr>
        <w:tc>
          <w:tcPr>
            <w:tcW w:w="906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 und Bestätigung der Angaben:</w:t>
            </w:r>
          </w:p>
        </w:tc>
      </w:tr>
      <w:tr>
        <w:trPr>
          <w:trHeight w:hRule="exact" w:val="1021"/>
        </w:trPr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Vorsitz des CIO-Boards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Personalrat</w:t>
            </w:r>
          </w:p>
        </w:tc>
      </w:tr>
      <w:tr>
        <w:trPr>
          <w:trHeight w:hRule="exact" w:val="1021"/>
        </w:trPr>
        <w:tc>
          <w:tcPr>
            <w:tcW w:w="4531" w:type="dxa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Leitung Stabsstelle CISO</w:t>
            </w:r>
          </w:p>
        </w:tc>
        <w:tc>
          <w:tcPr>
            <w:tcW w:w="4531" w:type="dxa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GB1-Leitung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Traffic Light Protocol</w:t>
      </w:r>
    </w:p>
    <w:p>
      <w:pPr>
        <w:widowControl w:val="0"/>
        <w:spacing w:before="248" w:after="0" w:line="278" w:lineRule="auto"/>
        <w:ind w:right="-30"/>
        <w:rPr>
          <w:rFonts w:ascii="Arial" w:eastAsia="arial mt" w:hAnsi="Arial" w:cs="Arial"/>
          <w:sz w:val="24"/>
          <w:szCs w:val="24"/>
        </w:rPr>
      </w:pPr>
      <w:r>
        <w:rPr>
          <w:rFonts w:ascii="Arial" w:eastAsia="arial mt" w:hAnsi="Arial" w:cs="Arial"/>
          <w:sz w:val="24"/>
          <w:szCs w:val="24"/>
        </w:rPr>
        <w:t>Zur Klassifikation wird das innerhalb des Landes Niedersachsen eingesetzte Traffic Light</w:t>
      </w:r>
      <w:r>
        <w:rPr>
          <w:rFonts w:ascii="Arial" w:eastAsia="arial mt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 mt" w:hAnsi="Arial" w:cs="Arial"/>
          <w:sz w:val="24"/>
          <w:szCs w:val="24"/>
        </w:rPr>
        <w:t>Protocol</w:t>
      </w:r>
      <w:r>
        <w:rPr>
          <w:rFonts w:ascii="Arial" w:eastAsia="arial mt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 mt" w:hAnsi="Arial" w:cs="Arial"/>
          <w:sz w:val="24"/>
          <w:szCs w:val="24"/>
        </w:rPr>
        <w:t>verwendet.</w:t>
      </w:r>
      <w:r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 mt" w:hAnsi="Arial" w:cs="Arial"/>
          <w:sz w:val="24"/>
          <w:szCs w:val="24"/>
        </w:rPr>
        <w:t>Siehe</w:t>
      </w:r>
      <w:r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 mt" w:hAnsi="Arial" w:cs="Arial"/>
          <w:sz w:val="24"/>
          <w:szCs w:val="24"/>
        </w:rPr>
        <w:t>auch</w:t>
      </w:r>
      <w:r>
        <w:rPr>
          <w:rFonts w:ascii="Arial" w:eastAsia="arial mt" w:hAnsi="Arial" w:cs="Arial"/>
          <w:spacing w:val="-3"/>
          <w:sz w:val="24"/>
          <w:szCs w:val="24"/>
        </w:rPr>
        <w:t xml:space="preserve"> </w:t>
      </w:r>
      <w:hyperlink r:id="rId12" w:tooltip="https://de.wikipedia.org/wiki/Traffic_Light_Protocol" w:history="1">
        <w:r>
          <w:rPr>
            <w:rFonts w:ascii="Arial" w:eastAsia="arial mt" w:hAnsi="Arial" w:cs="Arial"/>
            <w:color w:val="0000FF"/>
            <w:sz w:val="24"/>
            <w:szCs w:val="24"/>
            <w:u w:val="single"/>
          </w:rPr>
          <w:t>https://de.wikipedia.org/wiki/Traffic_Light_Protocol</w:t>
        </w:r>
      </w:hyperlink>
    </w:p>
    <w:p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4"/>
          <w:tab w:val="left" w:pos="1265"/>
        </w:tabs>
        <w:spacing w:before="196" w:after="0" w:line="247" w:lineRule="auto"/>
        <w:ind w:right="-30"/>
        <w:rPr>
          <w:rFonts w:ascii="Arial" w:eastAsia="arial mt" w:hAnsi="Arial" w:cs="Arial"/>
          <w:sz w:val="24"/>
          <w:szCs w:val="24"/>
        </w:rPr>
      </w:pPr>
      <w:proofErr w:type="gramStart"/>
      <w:r>
        <w:rPr>
          <w:rFonts w:ascii="Arial" w:eastAsia="arial mt" w:hAnsi="Arial" w:cs="Arial"/>
          <w:b/>
          <w:color w:val="FF0033"/>
          <w:sz w:val="24"/>
          <w:szCs w:val="24"/>
          <w:shd w:val="clear" w:color="auto" w:fill="000000"/>
        </w:rPr>
        <w:t>TLP:RED</w:t>
      </w:r>
      <w:proofErr w:type="gramEnd"/>
      <w:r>
        <w:rPr>
          <w:rFonts w:ascii="Arial" w:eastAsia="arial mt" w:hAnsi="Arial" w:cs="Arial"/>
          <w:color w:val="1F2021"/>
          <w:sz w:val="24"/>
          <w:szCs w:val="24"/>
        </w:rPr>
        <w:t>: Informationen dieser Stufe sind auf den Kreis der Anwesenden in einer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Besprechung oder Video-/ Audiokonferenz bzw. auf die direkten Empfangenden bei</w:t>
      </w:r>
      <w:r>
        <w:rPr>
          <w:rFonts w:ascii="Arial" w:eastAsia="arial mt" w:hAnsi="Arial" w:cs="Arial"/>
          <w:color w:val="1F2021"/>
          <w:spacing w:val="-59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schriftlicher Korrespondenz beschränkt. Eine Weitergabe ist untersagt. Meistens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werden</w:t>
      </w:r>
      <w:r>
        <w:rPr>
          <w:rFonts w:ascii="Arial" w:eastAsia="arial mt" w:hAnsi="Arial" w:cs="Arial"/>
          <w:color w:val="1F2021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 mt" w:hAnsi="Arial" w:cs="Arial"/>
          <w:color w:val="1F2021"/>
          <w:sz w:val="24"/>
          <w:szCs w:val="24"/>
        </w:rPr>
        <w:t>TLP:RED</w:t>
      </w:r>
      <w:proofErr w:type="gramEnd"/>
      <w:r>
        <w:rPr>
          <w:rFonts w:ascii="Arial" w:eastAsia="arial mt" w:hAnsi="Arial" w:cs="Arial"/>
          <w:color w:val="1F2021"/>
          <w:sz w:val="24"/>
          <w:szCs w:val="24"/>
        </w:rPr>
        <w:t>-Informationen</w:t>
      </w:r>
      <w:r>
        <w:rPr>
          <w:rFonts w:ascii="Arial" w:eastAsia="arial mt" w:hAnsi="Arial" w:cs="Arial"/>
          <w:color w:val="1F2021"/>
          <w:spacing w:val="-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mündlich</w:t>
      </w:r>
      <w:r>
        <w:rPr>
          <w:rFonts w:ascii="Arial" w:eastAsia="arial mt" w:hAnsi="Arial" w:cs="Arial"/>
          <w:color w:val="1F2021"/>
          <w:spacing w:val="-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oder persönlich</w:t>
      </w:r>
      <w:r>
        <w:rPr>
          <w:rFonts w:ascii="Arial" w:eastAsia="arial mt" w:hAnsi="Arial" w:cs="Arial"/>
          <w:color w:val="1F2021"/>
          <w:spacing w:val="-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übergeben.</w:t>
      </w:r>
    </w:p>
    <w:p>
      <w:pPr>
        <w:widowControl w:val="0"/>
        <w:tabs>
          <w:tab w:val="left" w:pos="1264"/>
          <w:tab w:val="left" w:pos="1265"/>
        </w:tabs>
        <w:spacing w:before="196" w:after="0" w:line="247" w:lineRule="auto"/>
        <w:ind w:right="-30"/>
        <w:rPr>
          <w:rFonts w:ascii="Arial" w:eastAsia="arial mt" w:hAnsi="Arial" w:cs="Arial"/>
          <w:sz w:val="24"/>
          <w:szCs w:val="24"/>
        </w:rPr>
      </w:pPr>
    </w:p>
    <w:p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4"/>
          <w:tab w:val="left" w:pos="1265"/>
        </w:tabs>
        <w:spacing w:before="1" w:after="0" w:line="247" w:lineRule="auto"/>
        <w:ind w:right="-30"/>
        <w:rPr>
          <w:rFonts w:ascii="Arial" w:eastAsia="arial mt" w:hAnsi="Arial" w:cs="Arial"/>
          <w:sz w:val="24"/>
          <w:szCs w:val="24"/>
        </w:rPr>
      </w:pPr>
      <w:proofErr w:type="gramStart"/>
      <w:r>
        <w:rPr>
          <w:rFonts w:ascii="Arial" w:eastAsia="arial mt" w:hAnsi="Arial" w:cs="Arial"/>
          <w:b/>
          <w:color w:val="FFC000"/>
          <w:sz w:val="24"/>
          <w:szCs w:val="24"/>
          <w:shd w:val="clear" w:color="auto" w:fill="000000"/>
        </w:rPr>
        <w:t>TLP:AMBER</w:t>
      </w:r>
      <w:proofErr w:type="gramEnd"/>
      <w:r>
        <w:rPr>
          <w:rFonts w:ascii="Arial" w:eastAsia="arial mt" w:hAnsi="Arial" w:cs="Arial"/>
          <w:color w:val="1F2021"/>
          <w:sz w:val="24"/>
          <w:szCs w:val="24"/>
        </w:rPr>
        <w:t>: Informationen dieser Stufe dürfen die Empfangenden innerhalb ihrer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Organisation auf Basis „Kenntnis nur wenn nötig“ weitergeben. Die Empfangenden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dürfen die Informationen zudem an Dritte weitergeben, soweit diese die Informationen</w:t>
      </w:r>
      <w:r>
        <w:rPr>
          <w:rFonts w:ascii="Arial" w:eastAsia="arial mt" w:hAnsi="Arial" w:cs="Arial"/>
          <w:color w:val="1F2021"/>
          <w:spacing w:val="-59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zum Schutz der Empfangenden oder zur Schadensreduktion bei den Empfangenden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benötigen.</w:t>
      </w:r>
      <w:r>
        <w:rPr>
          <w:rFonts w:ascii="Arial" w:eastAsia="arial mt" w:hAnsi="Arial" w:cs="Arial"/>
          <w:color w:val="1F2021"/>
          <w:spacing w:val="5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Hierfür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muss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sichergestellt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sein,</w:t>
      </w:r>
      <w:r>
        <w:rPr>
          <w:rFonts w:ascii="Arial" w:eastAsia="arial mt" w:hAnsi="Arial" w:cs="Arial"/>
          <w:color w:val="1F2021"/>
          <w:spacing w:val="4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dass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die</w:t>
      </w:r>
      <w:r>
        <w:rPr>
          <w:rFonts w:ascii="Arial" w:eastAsia="arial mt" w:hAnsi="Arial" w:cs="Arial"/>
          <w:color w:val="1F2021"/>
          <w:spacing w:val="3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„Dritten“</w:t>
      </w:r>
      <w:r>
        <w:rPr>
          <w:rFonts w:ascii="Arial" w:eastAsia="arial mt" w:hAnsi="Arial" w:cs="Arial"/>
          <w:color w:val="1F2021"/>
          <w:spacing w:val="6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das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TLP</w:t>
      </w:r>
      <w:r>
        <w:rPr>
          <w:rFonts w:ascii="Arial" w:eastAsia="arial mt" w:hAnsi="Arial" w:cs="Arial"/>
          <w:color w:val="1F2021"/>
          <w:spacing w:val="-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kennen</w:t>
      </w:r>
      <w:r>
        <w:rPr>
          <w:rFonts w:ascii="Arial" w:eastAsia="arial mt" w:hAnsi="Arial" w:cs="Arial"/>
          <w:color w:val="1F2021"/>
          <w:spacing w:val="4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und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die damit verbundenen Regeln Traffic Light Protocol (TLP) einhalten. Die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informationserstellende Person kann weitergehende oder zusätzliche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Einschränkungen der Informationsweitergabe festlegen, diese müssen eingehalten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werden.</w:t>
      </w:r>
    </w:p>
    <w:p>
      <w:pPr>
        <w:widowControl w:val="0"/>
        <w:tabs>
          <w:tab w:val="left" w:pos="1264"/>
          <w:tab w:val="left" w:pos="1265"/>
        </w:tabs>
        <w:spacing w:after="0" w:line="247" w:lineRule="auto"/>
        <w:ind w:right="-30"/>
        <w:rPr>
          <w:rFonts w:ascii="Arial" w:eastAsia="arial mt" w:hAnsi="Arial" w:cs="Arial"/>
          <w:sz w:val="24"/>
          <w:szCs w:val="24"/>
        </w:rPr>
      </w:pPr>
    </w:p>
    <w:p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4"/>
          <w:tab w:val="left" w:pos="1265"/>
        </w:tabs>
        <w:spacing w:before="101" w:after="0" w:line="247" w:lineRule="auto"/>
        <w:ind w:right="-30"/>
        <w:rPr>
          <w:rFonts w:ascii="Arial" w:eastAsia="arial mt" w:hAnsi="Arial" w:cs="Arial"/>
          <w:sz w:val="24"/>
          <w:szCs w:val="24"/>
        </w:rPr>
      </w:pPr>
      <w:proofErr w:type="gramStart"/>
      <w:r>
        <w:rPr>
          <w:rFonts w:ascii="Arial" w:eastAsia="arial mt" w:hAnsi="Arial" w:cs="Arial"/>
          <w:b/>
          <w:color w:val="33FF00"/>
          <w:sz w:val="24"/>
          <w:szCs w:val="24"/>
          <w:shd w:val="clear" w:color="auto" w:fill="000000"/>
        </w:rPr>
        <w:t>TLP:GREEN</w:t>
      </w:r>
      <w:proofErr w:type="gramEnd"/>
      <w:r>
        <w:rPr>
          <w:rFonts w:ascii="Arial" w:eastAsia="arial mt" w:hAnsi="Arial" w:cs="Arial"/>
          <w:color w:val="1F2021"/>
          <w:sz w:val="24"/>
          <w:szCs w:val="24"/>
        </w:rPr>
        <w:t>: Informationen dieser Stufe dürfen innerhalb der Organisationen und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anderen beteiligten Personen frei weitergegeben werden. Die Informationen dürfen</w:t>
      </w:r>
      <w:r>
        <w:rPr>
          <w:rFonts w:ascii="Arial" w:eastAsia="arial mt" w:hAnsi="Arial" w:cs="Arial"/>
          <w:color w:val="1F2021"/>
          <w:spacing w:val="-59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jedoch</w:t>
      </w:r>
      <w:r>
        <w:rPr>
          <w:rFonts w:ascii="Arial" w:eastAsia="arial mt" w:hAnsi="Arial" w:cs="Arial"/>
          <w:color w:val="1F2021"/>
          <w:spacing w:val="-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nicht</w:t>
      </w:r>
      <w:r>
        <w:rPr>
          <w:rFonts w:ascii="Arial" w:eastAsia="arial mt" w:hAnsi="Arial" w:cs="Arial"/>
          <w:color w:val="1F2021"/>
          <w:spacing w:val="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veröffentlicht</w:t>
      </w:r>
      <w:r>
        <w:rPr>
          <w:rFonts w:ascii="Arial" w:eastAsia="arial mt" w:hAnsi="Arial" w:cs="Arial"/>
          <w:color w:val="1F2021"/>
          <w:spacing w:val="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werden.</w:t>
      </w:r>
    </w:p>
    <w:p>
      <w:pPr>
        <w:widowControl w:val="0"/>
        <w:tabs>
          <w:tab w:val="left" w:pos="1264"/>
          <w:tab w:val="left" w:pos="1265"/>
        </w:tabs>
        <w:spacing w:before="101" w:after="0" w:line="247" w:lineRule="auto"/>
        <w:ind w:right="-30"/>
        <w:rPr>
          <w:rFonts w:ascii="Arial" w:eastAsia="arial mt" w:hAnsi="Arial" w:cs="Arial"/>
          <w:sz w:val="24"/>
          <w:szCs w:val="24"/>
        </w:rPr>
      </w:pPr>
    </w:p>
    <w:p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4"/>
          <w:tab w:val="left" w:pos="1265"/>
        </w:tabs>
        <w:spacing w:before="101" w:after="0" w:line="247" w:lineRule="auto"/>
        <w:ind w:right="-30"/>
        <w:rPr>
          <w:rFonts w:ascii="Arial" w:eastAsia="arial mt" w:hAnsi="Arial" w:cs="Arial"/>
          <w:sz w:val="24"/>
          <w:szCs w:val="24"/>
        </w:rPr>
      </w:pPr>
      <w:proofErr w:type="gramStart"/>
      <w:r>
        <w:rPr>
          <w:rFonts w:ascii="Arial" w:eastAsia="arial mt" w:hAnsi="Arial" w:cs="Arial"/>
          <w:b/>
          <w:color w:val="FFFFFF"/>
          <w:sz w:val="24"/>
          <w:szCs w:val="24"/>
          <w:shd w:val="clear" w:color="auto" w:fill="000000"/>
        </w:rPr>
        <w:t>TLP:WHITE</w:t>
      </w:r>
      <w:proofErr w:type="gramEnd"/>
      <w:r>
        <w:rPr>
          <w:rFonts w:ascii="Arial" w:eastAsia="arial mt" w:hAnsi="Arial" w:cs="Arial"/>
          <w:color w:val="1F2021"/>
          <w:sz w:val="24"/>
          <w:szCs w:val="24"/>
        </w:rPr>
        <w:t>: Abgesehen von urheberrechtlichen Aspekten dürfen Informationen der</w:t>
      </w:r>
      <w:r>
        <w:rPr>
          <w:rFonts w:ascii="Arial" w:eastAsia="arial mt" w:hAnsi="Arial" w:cs="Arial"/>
          <w:color w:val="1F2021"/>
          <w:spacing w:val="-59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Stufe</w:t>
      </w:r>
      <w:r>
        <w:rPr>
          <w:rFonts w:ascii="Arial" w:eastAsia="arial mt" w:hAnsi="Arial" w:cs="Arial"/>
          <w:color w:val="1F2021"/>
          <w:spacing w:val="-3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TLP:WHITE</w:t>
      </w:r>
      <w:r>
        <w:rPr>
          <w:rFonts w:ascii="Arial" w:eastAsia="arial mt" w:hAnsi="Arial" w:cs="Arial"/>
          <w:color w:val="1F2021"/>
          <w:spacing w:val="-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ohne</w:t>
      </w:r>
      <w:r>
        <w:rPr>
          <w:rFonts w:ascii="Arial" w:eastAsia="arial mt" w:hAnsi="Arial" w:cs="Arial"/>
          <w:color w:val="1F2021"/>
          <w:spacing w:val="-6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Einschränkungen</w:t>
      </w:r>
      <w:r>
        <w:rPr>
          <w:rFonts w:ascii="Arial" w:eastAsia="arial mt" w:hAnsi="Arial" w:cs="Arial"/>
          <w:color w:val="1F2021"/>
          <w:spacing w:val="-3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frei</w:t>
      </w:r>
      <w:r>
        <w:rPr>
          <w:rFonts w:ascii="Arial" w:eastAsia="arial mt" w:hAnsi="Arial" w:cs="Arial"/>
          <w:color w:val="1F2021"/>
          <w:spacing w:val="-2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weitergegeben</w:t>
      </w:r>
      <w:r>
        <w:rPr>
          <w:rFonts w:ascii="Arial" w:eastAsia="arial mt" w:hAnsi="Arial" w:cs="Arial"/>
          <w:color w:val="1F2021"/>
          <w:spacing w:val="-1"/>
          <w:sz w:val="24"/>
          <w:szCs w:val="24"/>
        </w:rPr>
        <w:t xml:space="preserve"> </w:t>
      </w:r>
      <w:r>
        <w:rPr>
          <w:rFonts w:ascii="Arial" w:eastAsia="arial mt" w:hAnsi="Arial" w:cs="Arial"/>
          <w:color w:val="1F2021"/>
          <w:sz w:val="24"/>
          <w:szCs w:val="24"/>
        </w:rPr>
        <w:t>werden.</w:t>
      </w:r>
    </w:p>
    <w:p>
      <w:pPr>
        <w:rPr>
          <w:rFonts w:ascii="Arial" w:hAnsi="Arial" w:cs="Arial"/>
        </w:rPr>
      </w:pPr>
    </w:p>
    <w:sectPr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ind w:left="2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Checkliste zum IT-Verfahren  </w:t>
    </w:r>
    <w:r>
      <w:rPr>
        <w:rFonts w:ascii="Arial" w:hAnsi="Arial" w:cs="Arial"/>
        <w:caps/>
        <w:sz w:val="20"/>
        <w:szCs w:val="20"/>
      </w:rPr>
      <w:t>[DOKUMENTTITEL]</w:t>
    </w:r>
    <w:r>
      <w:rPr>
        <w:rFonts w:ascii="Arial" w:hAnsi="Arial" w:cs="Arial"/>
      </w:rPr>
      <w:t xml:space="preserve"> </w:t>
    </w:r>
    <w:r>
      <w:rPr>
        <w:rFonts w:ascii="Arial" w:hAnsi="Arial" w:cs="Arial"/>
        <w:b/>
        <w:color w:val="33FF00"/>
        <w:sz w:val="20"/>
        <w:szCs w:val="20"/>
        <w:shd w:val="clear" w:color="auto" w:fill="000000"/>
      </w:rPr>
      <w:br/>
      <w:t>TLP:GREEN</w:t>
    </w:r>
    <w:r>
      <w:rPr>
        <w:rFonts w:ascii="Arial" w:hAnsi="Arial" w:cs="Arial"/>
        <w:color w:val="1F2021"/>
        <w:sz w:val="20"/>
        <w:szCs w:val="20"/>
      </w:rPr>
      <w:t>:</w:t>
    </w:r>
    <w:r>
      <w:rPr>
        <w:rFonts w:ascii="Arial" w:hAnsi="Arial" w:cs="Arial"/>
        <w:color w:val="1F2021"/>
        <w:spacing w:val="-8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siehe</w:t>
    </w:r>
    <w:r>
      <w:rPr>
        <w:rFonts w:ascii="Arial" w:hAnsi="Arial" w:cs="Arial"/>
        <w:spacing w:val="-10"/>
        <w:sz w:val="20"/>
        <w:szCs w:val="20"/>
      </w:rPr>
      <w:t xml:space="preserve"> </w:t>
    </w:r>
    <w:hyperlink r:id="rId1" w:tooltip="https://de.wikipedia.org/wiki/Traffic_Light_Protocol" w:history="1">
      <w:r>
        <w:rPr>
          <w:rFonts w:ascii="Arial" w:hAnsi="Arial" w:cs="Arial"/>
          <w:color w:val="0000FF"/>
          <w:sz w:val="20"/>
          <w:szCs w:val="20"/>
          <w:u w:val="single"/>
        </w:rPr>
        <w:t>https://de.wikipedia.org/wiki/Traffic_Light_Protocol</w:t>
      </w:r>
    </w:hyperlink>
    <w:r>
      <w:rPr>
        <w:rFonts w:ascii="Arial" w:hAnsi="Arial" w:cs="Arial"/>
        <w:sz w:val="20"/>
        <w:szCs w:val="20"/>
      </w:rPr>
      <w:br/>
      <w:t>Vertraulich:</w:t>
    </w:r>
    <w:r>
      <w:rPr>
        <w:rFonts w:ascii="Arial" w:hAnsi="Arial" w:cs="Arial"/>
        <w:spacing w:val="-8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intern</w:t>
    </w:r>
    <w:r>
      <w:rPr>
        <w:rFonts w:ascii="Arial" w:hAnsi="Arial" w:cs="Arial"/>
        <w:spacing w:val="-7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(hochschulöffentlich)</w:t>
    </w:r>
    <w:r>
      <w:rPr>
        <w:rFonts w:ascii="Arial" w:hAnsi="Arial" w:cs="Arial"/>
        <w:spacing w:val="-42"/>
        <w:sz w:val="20"/>
        <w:szCs w:val="20"/>
      </w:rPr>
      <w:t xml:space="preserve"> </w:t>
    </w:r>
    <w:r>
      <w:rPr>
        <w:rFonts w:ascii="Arial" w:hAnsi="Arial" w:cs="Arial"/>
        <w:spacing w:val="-42"/>
        <w:sz w:val="20"/>
        <w:szCs w:val="20"/>
      </w:rPr>
      <w:br/>
    </w:r>
    <w:r>
      <w:rPr>
        <w:rFonts w:ascii="Arial" w:hAnsi="Arial" w:cs="Arial"/>
        <w:sz w:val="20"/>
        <w:szCs w:val="20"/>
      </w:rPr>
      <w:t>Ersteller:</w:t>
    </w:r>
    <w:r>
      <w:rPr>
        <w:rFonts w:ascii="Arial" w:hAnsi="Arial" w:cs="Arial"/>
        <w:spacing w:val="-2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OE-Rolle/Ersteller</w:t>
    </w:r>
    <w:r>
      <w:rPr>
        <w:rFonts w:ascii="Arial" w:hAnsi="Arial" w:cs="Arial"/>
        <w:sz w:val="20"/>
        <w:szCs w:val="20"/>
      </w:rPr>
      <w:br/>
      <w:t>Verteiler:</w:t>
    </w:r>
    <w:r>
      <w:rPr>
        <w:rFonts w:ascii="Arial" w:hAnsi="Arial" w:cs="Arial"/>
        <w:spacing w:val="-5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OE, CIO-Board, GB1, CISO, DSB, PR</w:t>
    </w:r>
  </w:p>
  <w:p>
    <w:pPr>
      <w:spacing w:line="223" w:lineRule="exact"/>
      <w:ind w:left="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FE0"/>
    <w:multiLevelType w:val="hybridMultilevel"/>
    <w:tmpl w:val="E306FD6C"/>
    <w:lvl w:ilvl="0" w:tplc="D90AEF10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E4B0EEE4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5CCED192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82381034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EAE65C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E1344CE4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AB28F50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5FFA6F78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D69E0CD4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626D438C"/>
    <w:multiLevelType w:val="hybridMultilevel"/>
    <w:tmpl w:val="348A12FA"/>
    <w:lvl w:ilvl="0" w:tplc="6106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76BF32">
      <w:start w:val="1"/>
      <w:numFmt w:val="lowerLetter"/>
      <w:lvlText w:val="%2."/>
      <w:lvlJc w:val="left"/>
      <w:pPr>
        <w:ind w:left="1080" w:hanging="360"/>
      </w:pPr>
    </w:lvl>
    <w:lvl w:ilvl="2" w:tplc="9036EC4C">
      <w:start w:val="1"/>
      <w:numFmt w:val="lowerRoman"/>
      <w:lvlText w:val="%3."/>
      <w:lvlJc w:val="right"/>
      <w:pPr>
        <w:ind w:left="1800" w:hanging="180"/>
      </w:pPr>
    </w:lvl>
    <w:lvl w:ilvl="3" w:tplc="E29AE148">
      <w:start w:val="1"/>
      <w:numFmt w:val="decimal"/>
      <w:lvlText w:val="%4."/>
      <w:lvlJc w:val="left"/>
      <w:pPr>
        <w:ind w:left="2520" w:hanging="360"/>
      </w:pPr>
    </w:lvl>
    <w:lvl w:ilvl="4" w:tplc="0F6C29A4">
      <w:start w:val="1"/>
      <w:numFmt w:val="lowerLetter"/>
      <w:lvlText w:val="%5."/>
      <w:lvlJc w:val="left"/>
      <w:pPr>
        <w:ind w:left="3240" w:hanging="360"/>
      </w:pPr>
    </w:lvl>
    <w:lvl w:ilvl="5" w:tplc="FABA585A">
      <w:start w:val="1"/>
      <w:numFmt w:val="lowerRoman"/>
      <w:lvlText w:val="%6."/>
      <w:lvlJc w:val="right"/>
      <w:pPr>
        <w:ind w:left="3960" w:hanging="180"/>
      </w:pPr>
    </w:lvl>
    <w:lvl w:ilvl="6" w:tplc="ED1E5B36">
      <w:start w:val="1"/>
      <w:numFmt w:val="decimal"/>
      <w:lvlText w:val="%7."/>
      <w:lvlJc w:val="left"/>
      <w:pPr>
        <w:ind w:left="4680" w:hanging="360"/>
      </w:pPr>
    </w:lvl>
    <w:lvl w:ilvl="7" w:tplc="9356C4E8">
      <w:start w:val="1"/>
      <w:numFmt w:val="lowerLetter"/>
      <w:lvlText w:val="%8."/>
      <w:lvlJc w:val="left"/>
      <w:pPr>
        <w:ind w:left="5400" w:hanging="360"/>
      </w:pPr>
    </w:lvl>
    <w:lvl w:ilvl="8" w:tplc="ABFA1E9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243C3-F07C-47CA-8100-A6D6A4A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Traffic_Light_Protoc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Traffic_Light_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89BCEFB-1E51-435D-85C9-077BBBE6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</dc:creator>
  <cp:keywords/>
  <dc:description/>
  <cp:lastModifiedBy>Anja Rasche</cp:lastModifiedBy>
  <cp:revision>2</cp:revision>
  <dcterms:created xsi:type="dcterms:W3CDTF">2022-09-16T10:32:00Z</dcterms:created>
  <dcterms:modified xsi:type="dcterms:W3CDTF">2022-09-16T10:32:00Z</dcterms:modified>
</cp:coreProperties>
</file>