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gitternetz1"/>
        <w:tblW w:w="10900" w:type="dxa"/>
        <w:tblInd w:w="-937" w:type="dxa"/>
        <w:tblCellMar>
          <w:top w:w="83" w:type="dxa"/>
          <w:left w:w="60" w:type="dxa"/>
          <w:bottom w:w="28" w:type="dxa"/>
          <w:right w:w="68" w:type="dxa"/>
        </w:tblCellMar>
        <w:tblLook w:val="04A0" w:firstRow="1" w:lastRow="0" w:firstColumn="1" w:lastColumn="0" w:noHBand="0" w:noVBand="1"/>
      </w:tblPr>
      <w:tblGrid>
        <w:gridCol w:w="8720"/>
        <w:gridCol w:w="2180"/>
      </w:tblGrid>
      <w:tr>
        <w:trPr>
          <w:cantSplit/>
          <w:trHeight w:val="151"/>
        </w:trPr>
        <w:tc>
          <w:tcPr>
            <w:tcW w:w="8720" w:type="dxa"/>
            <w:tcBorders>
              <w:top w:val="single" w:sz="4" w:space="0" w:color="000000"/>
              <w:left w:val="single" w:sz="4" w:space="0" w:color="000000"/>
              <w:bottom w:val="single" w:sz="4" w:space="0" w:color="000000"/>
              <w:right w:val="single" w:sz="4" w:space="0" w:color="000000"/>
            </w:tcBorders>
          </w:tcPr>
          <w:p>
            <w:pPr>
              <w:spacing w:line="259" w:lineRule="auto"/>
              <w:ind w:left="0" w:firstLine="0"/>
              <w:rPr>
                <w:lang w:val="en-US"/>
              </w:rPr>
            </w:pPr>
            <w:proofErr w:type="spellStart"/>
            <w:r>
              <w:rPr>
                <w:color w:val="666767"/>
                <w:sz w:val="18"/>
                <w:lang w:val="en-US"/>
              </w:rPr>
              <w:t>Modulbezeichnung</w:t>
            </w:r>
            <w:proofErr w:type="spellEnd"/>
            <w:r>
              <w:rPr>
                <w:color w:val="666767"/>
                <w:sz w:val="18"/>
                <w:lang w:val="en-US"/>
              </w:rPr>
              <w:t>:</w:t>
            </w:r>
          </w:p>
          <w:p>
            <w:pPr>
              <w:pStyle w:val="berschrift21"/>
              <w:rPr>
                <w:lang w:val="en-US"/>
              </w:rPr>
            </w:pPr>
            <w:bookmarkStart w:id="0" w:name="_Toc178545590"/>
            <w:r>
              <w:rPr>
                <w:color w:val="auto"/>
                <w:lang w:val="en-US"/>
              </w:rPr>
              <w:t>MI 20 Entry</w:t>
            </w:r>
            <w:r>
              <w:rPr>
                <w:color w:val="000000" w:themeColor="text1"/>
                <w:lang w:val="en-US"/>
              </w:rPr>
              <w:t>-</w:t>
            </w:r>
            <w:proofErr w:type="spellStart"/>
            <w:r>
              <w:rPr>
                <w:color w:val="000000" w:themeColor="text1"/>
                <w:lang w:val="en-US"/>
              </w:rPr>
              <w:t>Modul</w:t>
            </w:r>
            <w:proofErr w:type="spellEnd"/>
            <w:r>
              <w:rPr>
                <w:color w:val="000000" w:themeColor="text1"/>
                <w:lang w:val="en-US"/>
              </w:rPr>
              <w:t xml:space="preserve"> </w:t>
            </w:r>
            <w:r>
              <w:rPr>
                <w:lang w:val="en-US"/>
              </w:rPr>
              <w:t>„Engineering for Health“ und „Alignment Internship“</w:t>
            </w:r>
            <w:bookmarkEnd w:id="0"/>
          </w:p>
        </w:tc>
        <w:tc>
          <w:tcPr>
            <w:tcW w:w="2180" w:type="dxa"/>
            <w:vMerge w:val="restart"/>
            <w:tcBorders>
              <w:top w:val="single" w:sz="4" w:space="0" w:color="000000"/>
              <w:left w:val="single" w:sz="4" w:space="0" w:color="000000"/>
              <w:right w:val="single" w:sz="4" w:space="0" w:color="000000"/>
            </w:tcBorders>
          </w:tcPr>
          <w:p>
            <w:pPr>
              <w:spacing w:line="259" w:lineRule="auto"/>
              <w:ind w:left="0" w:firstLine="0"/>
            </w:pPr>
            <w:r>
              <w:rPr>
                <w:color w:val="666767"/>
                <w:sz w:val="18"/>
              </w:rPr>
              <w:t>Modulabkürzung:</w:t>
            </w:r>
          </w:p>
          <w:p>
            <w:pPr>
              <w:spacing w:line="259" w:lineRule="auto"/>
              <w:ind w:left="0"/>
            </w:pPr>
            <w:r>
              <w:rPr>
                <w:rFonts w:eastAsia="Arial" w:cs="Arial"/>
                <w:b/>
              </w:rPr>
              <w:t>MI 20</w:t>
            </w:r>
          </w:p>
        </w:tc>
      </w:tr>
      <w:tr>
        <w:trPr>
          <w:cantSplit/>
          <w:trHeight w:val="116"/>
        </w:trPr>
        <w:tc>
          <w:tcPr>
            <w:tcW w:w="8720" w:type="dxa"/>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Institution:</w:t>
            </w:r>
          </w:p>
          <w:p>
            <w:pPr>
              <w:spacing w:line="259" w:lineRule="auto"/>
              <w:ind w:left="0" w:firstLine="0"/>
            </w:pPr>
            <w:r>
              <w:rPr>
                <w:rFonts w:eastAsia="Arial" w:cs="Arial"/>
                <w:color w:val="000000"/>
              </w:rPr>
              <w:t>Studiendekanat Biologie</w:t>
            </w:r>
          </w:p>
        </w:tc>
        <w:tc>
          <w:tcPr>
            <w:tcW w:w="2180" w:type="dxa"/>
            <w:vMerge/>
            <w:tcBorders>
              <w:left w:val="single" w:sz="4" w:space="0" w:color="000000"/>
              <w:bottom w:val="single" w:sz="4" w:space="0" w:color="000000"/>
              <w:right w:val="single" w:sz="4" w:space="0" w:color="000000"/>
            </w:tcBorders>
          </w:tcPr>
          <w:p>
            <w:pPr>
              <w:spacing w:line="259" w:lineRule="auto"/>
              <w:ind w:left="0" w:firstLine="0"/>
            </w:pPr>
          </w:p>
        </w:tc>
      </w:tr>
      <w:tr>
        <w:trPr>
          <w:cantSplit/>
          <w:trHeight w:val="380"/>
        </w:trPr>
        <w:tc>
          <w:tcPr>
            <w:tcW w:w="10900" w:type="dxa"/>
            <w:gridSpan w:val="2"/>
            <w:tcBorders>
              <w:top w:val="single" w:sz="4" w:space="0" w:color="000000"/>
              <w:left w:val="single" w:sz="4" w:space="0" w:color="000000"/>
              <w:bottom w:val="single" w:sz="4" w:space="0" w:color="000000"/>
              <w:right w:val="single" w:sz="4" w:space="0" w:color="000000"/>
            </w:tcBorders>
          </w:tcPr>
          <w:p>
            <w:pPr>
              <w:tabs>
                <w:tab w:val="center" w:pos="437"/>
                <w:tab w:val="center" w:pos="2035"/>
                <w:tab w:val="center" w:pos="4375"/>
                <w:tab w:val="center" w:pos="6024"/>
                <w:tab w:val="center" w:pos="8077"/>
                <w:tab w:val="center" w:pos="9818"/>
              </w:tabs>
              <w:spacing w:line="259" w:lineRule="auto"/>
              <w:ind w:left="0" w:firstLine="0"/>
            </w:pPr>
            <w:proofErr w:type="spellStart"/>
            <w:r>
              <w:rPr>
                <w:color w:val="666767"/>
                <w:sz w:val="18"/>
              </w:rPr>
              <w:t>Workload</w:t>
            </w:r>
            <w:proofErr w:type="spellEnd"/>
            <w:r>
              <w:rPr>
                <w:color w:val="666767"/>
                <w:sz w:val="18"/>
              </w:rPr>
              <w:t>:</w:t>
            </w:r>
            <w:r>
              <w:rPr>
                <w:color w:val="666767"/>
                <w:sz w:val="18"/>
              </w:rPr>
              <w:tab/>
            </w:r>
            <w:r>
              <w:rPr>
                <w:rFonts w:eastAsia="Arial" w:cs="Arial"/>
                <w:color w:val="000000"/>
              </w:rPr>
              <w:t>300 h</w:t>
            </w:r>
            <w:r>
              <w:rPr>
                <w:rFonts w:eastAsia="Arial" w:cs="Arial"/>
                <w:color w:val="000000"/>
              </w:rPr>
              <w:tab/>
              <w:t xml:space="preserve"> </w:t>
            </w:r>
            <w:r>
              <w:rPr>
                <w:color w:val="666767"/>
                <w:sz w:val="18"/>
              </w:rPr>
              <w:t>Präsenzzeit:</w:t>
            </w:r>
            <w:r>
              <w:rPr>
                <w:color w:val="666767"/>
                <w:sz w:val="18"/>
              </w:rPr>
              <w:tab/>
            </w:r>
            <w:r>
              <w:rPr>
                <w:rFonts w:eastAsia="Arial" w:cs="Arial"/>
                <w:color w:val="000000"/>
              </w:rPr>
              <w:t>120 h</w:t>
            </w:r>
            <w:r>
              <w:rPr>
                <w:rFonts w:eastAsia="Arial" w:cs="Arial"/>
                <w:color w:val="000000"/>
              </w:rPr>
              <w:tab/>
            </w:r>
            <w:r>
              <w:rPr>
                <w:color w:val="666767"/>
                <w:sz w:val="18"/>
              </w:rPr>
              <w:t>Semester:</w:t>
            </w:r>
            <w:r>
              <w:rPr>
                <w:color w:val="666767"/>
                <w:sz w:val="18"/>
              </w:rPr>
              <w:tab/>
            </w:r>
            <w:r>
              <w:rPr>
                <w:rFonts w:eastAsia="Arial" w:cs="Arial"/>
                <w:color w:val="000000"/>
              </w:rPr>
              <w:t>1</w:t>
            </w:r>
          </w:p>
          <w:p>
            <w:pPr>
              <w:tabs>
                <w:tab w:val="center" w:pos="694"/>
                <w:tab w:val="center" w:pos="1896"/>
                <w:tab w:val="center" w:pos="4491"/>
                <w:tab w:val="center" w:pos="6024"/>
                <w:tab w:val="center" w:pos="8346"/>
                <w:tab w:val="center" w:pos="9818"/>
              </w:tabs>
              <w:spacing w:line="259" w:lineRule="auto"/>
              <w:ind w:left="0" w:firstLine="0"/>
            </w:pPr>
            <w:r>
              <w:rPr>
                <w:color w:val="666767"/>
                <w:sz w:val="18"/>
              </w:rPr>
              <w:t>Leistungspunkte:</w:t>
            </w:r>
            <w:r>
              <w:rPr>
                <w:color w:val="666767"/>
                <w:sz w:val="18"/>
              </w:rPr>
              <w:tab/>
            </w:r>
            <w:r>
              <w:rPr>
                <w:rFonts w:eastAsia="Arial" w:cs="Arial"/>
                <w:color w:val="000000"/>
              </w:rPr>
              <w:t>10</w:t>
            </w:r>
            <w:r>
              <w:rPr>
                <w:rFonts w:eastAsia="Arial" w:cs="Arial"/>
                <w:color w:val="000000"/>
              </w:rPr>
              <w:tab/>
            </w:r>
            <w:r>
              <w:rPr>
                <w:color w:val="666767"/>
                <w:sz w:val="18"/>
              </w:rPr>
              <w:t>Selbststudium:</w:t>
            </w:r>
            <w:r>
              <w:rPr>
                <w:color w:val="666767"/>
                <w:sz w:val="18"/>
              </w:rPr>
              <w:tab/>
            </w:r>
            <w:r>
              <w:rPr>
                <w:rFonts w:eastAsia="Arial" w:cs="Arial"/>
                <w:color w:val="000000"/>
              </w:rPr>
              <w:t>180 h</w:t>
            </w:r>
            <w:r>
              <w:rPr>
                <w:rFonts w:eastAsia="Arial" w:cs="Arial"/>
                <w:color w:val="000000"/>
              </w:rPr>
              <w:tab/>
              <w:t xml:space="preserve"> </w:t>
            </w:r>
            <w:r>
              <w:rPr>
                <w:color w:val="666767"/>
                <w:sz w:val="18"/>
              </w:rPr>
              <w:t>Anzahl Semester:</w:t>
            </w:r>
            <w:r>
              <w:rPr>
                <w:color w:val="666767"/>
                <w:sz w:val="18"/>
              </w:rPr>
              <w:tab/>
            </w:r>
            <w:r>
              <w:rPr>
                <w:rFonts w:eastAsia="Arial" w:cs="Arial"/>
                <w:color w:val="000000"/>
              </w:rPr>
              <w:t>1</w:t>
            </w:r>
          </w:p>
          <w:p>
            <w:pPr>
              <w:tabs>
                <w:tab w:val="center" w:pos="494"/>
                <w:tab w:val="center" w:pos="2013"/>
                <w:tab w:val="center" w:pos="7906"/>
                <w:tab w:val="center" w:pos="9873"/>
              </w:tabs>
              <w:spacing w:line="259" w:lineRule="auto"/>
              <w:ind w:left="0" w:firstLine="0"/>
            </w:pPr>
            <w:r>
              <w:rPr>
                <w:color w:val="666767"/>
                <w:sz w:val="18"/>
              </w:rPr>
              <w:t>Pflichtform:</w:t>
            </w:r>
            <w:r>
              <w:rPr>
                <w:color w:val="666767"/>
                <w:sz w:val="18"/>
              </w:rPr>
              <w:tab/>
            </w:r>
            <w:r>
              <w:rPr>
                <w:rFonts w:eastAsia="Arial" w:cs="Arial"/>
                <w:color w:val="000000"/>
              </w:rPr>
              <w:t>Wahl</w:t>
            </w:r>
            <w:r>
              <w:rPr>
                <w:rFonts w:eastAsia="Arial" w:cs="Arial"/>
                <w:color w:val="000000"/>
              </w:rPr>
              <w:tab/>
            </w:r>
            <w:r>
              <w:rPr>
                <w:color w:val="666767"/>
                <w:sz w:val="18"/>
              </w:rPr>
              <w:t>SWS:</w:t>
            </w:r>
            <w:r>
              <w:rPr>
                <w:color w:val="666767"/>
                <w:sz w:val="18"/>
              </w:rPr>
              <w:tab/>
            </w:r>
            <w:r>
              <w:rPr>
                <w:rFonts w:eastAsia="Arial" w:cs="Arial"/>
                <w:color w:val="000000"/>
              </w:rPr>
              <w:t>10</w:t>
            </w:r>
          </w:p>
        </w:tc>
      </w:tr>
      <w:tr>
        <w:trPr>
          <w:cantSplit/>
          <w:trHeight w:val="80"/>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rPr>
                <w:lang w:val="en-US"/>
              </w:rPr>
            </w:pPr>
            <w:proofErr w:type="spellStart"/>
            <w:r>
              <w:rPr>
                <w:color w:val="666767"/>
                <w:sz w:val="18"/>
                <w:lang w:val="en-US"/>
              </w:rPr>
              <w:t>Lehrveranstaltungen</w:t>
            </w:r>
            <w:proofErr w:type="spellEnd"/>
            <w:r>
              <w:rPr>
                <w:color w:val="666767"/>
                <w:sz w:val="18"/>
                <w:lang w:val="en-US"/>
              </w:rPr>
              <w:t>/</w:t>
            </w:r>
            <w:proofErr w:type="spellStart"/>
            <w:r>
              <w:rPr>
                <w:color w:val="666767"/>
                <w:sz w:val="18"/>
                <w:lang w:val="en-US"/>
              </w:rPr>
              <w:t>Oberthemen</w:t>
            </w:r>
            <w:proofErr w:type="spellEnd"/>
            <w:r>
              <w:rPr>
                <w:color w:val="666767"/>
                <w:sz w:val="18"/>
                <w:lang w:val="en-US"/>
              </w:rPr>
              <w:t>:</w:t>
            </w:r>
          </w:p>
          <w:p>
            <w:pPr>
              <w:spacing w:line="259" w:lineRule="auto"/>
              <w:ind w:left="0" w:firstLine="0"/>
              <w:rPr>
                <w:rFonts w:eastAsia="Arial" w:cs="Arial"/>
                <w:color w:val="000000"/>
                <w:lang w:val="en-US"/>
              </w:rPr>
            </w:pPr>
            <w:r>
              <w:rPr>
                <w:rFonts w:eastAsia="Arial" w:cs="Arial"/>
                <w:color w:val="000000"/>
                <w:lang w:val="en-US"/>
              </w:rPr>
              <w:t xml:space="preserve">     </w:t>
            </w:r>
            <w:proofErr w:type="spellStart"/>
            <w:r>
              <w:rPr>
                <w:rFonts w:eastAsia="Arial" w:cs="Arial"/>
                <w:color w:val="000000"/>
                <w:lang w:val="en-US"/>
              </w:rPr>
              <w:t>Vorlesung</w:t>
            </w:r>
            <w:proofErr w:type="spellEnd"/>
            <w:r>
              <w:rPr>
                <w:rFonts w:eastAsia="Arial" w:cs="Arial"/>
                <w:color w:val="000000"/>
                <w:lang w:val="en-US"/>
              </w:rPr>
              <w:t xml:space="preserve"> </w:t>
            </w:r>
            <w:r>
              <w:rPr>
                <w:rFonts w:eastAsia="Arial" w:cs="Arial"/>
                <w:lang w:val="en-US"/>
              </w:rPr>
              <w:t xml:space="preserve">und </w:t>
            </w:r>
            <w:proofErr w:type="spellStart"/>
            <w:r>
              <w:rPr>
                <w:rFonts w:eastAsia="Arial" w:cs="Arial"/>
                <w:lang w:val="en-US"/>
              </w:rPr>
              <w:t>Tutorium</w:t>
            </w:r>
            <w:proofErr w:type="spellEnd"/>
            <w:r>
              <w:rPr>
                <w:rFonts w:eastAsia="Arial" w:cs="Arial"/>
                <w:lang w:val="en-US"/>
              </w:rPr>
              <w:t xml:space="preserve"> „Engineering </w:t>
            </w:r>
            <w:r>
              <w:rPr>
                <w:rFonts w:eastAsia="Arial" w:cs="Arial"/>
                <w:color w:val="000000"/>
                <w:lang w:val="en-US"/>
              </w:rPr>
              <w:t>for Health“ (V)</w:t>
            </w:r>
          </w:p>
          <w:p>
            <w:pPr>
              <w:spacing w:line="259" w:lineRule="auto"/>
              <w:ind w:left="0" w:firstLine="0"/>
              <w:rPr>
                <w:rFonts w:eastAsia="Arial" w:cs="Arial"/>
                <w:color w:val="000000"/>
                <w:lang w:val="en-US"/>
              </w:rPr>
            </w:pPr>
            <w:r>
              <w:rPr>
                <w:rFonts w:eastAsia="Arial" w:cs="Arial"/>
                <w:color w:val="000000"/>
                <w:lang w:val="en-US"/>
              </w:rPr>
              <w:t xml:space="preserve">     </w:t>
            </w:r>
            <w:proofErr w:type="spellStart"/>
            <w:r>
              <w:rPr>
                <w:rFonts w:eastAsia="Arial" w:cs="Arial"/>
                <w:color w:val="000000"/>
                <w:lang w:val="en-US"/>
              </w:rPr>
              <w:t>Praktikum</w:t>
            </w:r>
            <w:proofErr w:type="spellEnd"/>
            <w:r>
              <w:rPr>
                <w:rFonts w:eastAsia="Arial" w:cs="Arial"/>
                <w:color w:val="000000"/>
                <w:lang w:val="en-US"/>
              </w:rPr>
              <w:t xml:space="preserve"> „Alignment Internship“ (P)</w:t>
            </w:r>
          </w:p>
          <w:p>
            <w:pPr>
              <w:spacing w:line="259" w:lineRule="auto"/>
              <w:ind w:left="0" w:firstLine="0"/>
              <w:rPr>
                <w:lang w:val="en-US"/>
              </w:rPr>
            </w:pPr>
            <w:r>
              <w:rPr>
                <w:rFonts w:eastAsia="Arial" w:cs="Arial"/>
                <w:color w:val="000000"/>
                <w:lang w:val="en-US"/>
              </w:rPr>
              <w:t xml:space="preserve">     Seminar „Research Focus Engineering for Health at TU Braunschweig“ (S)</w:t>
            </w:r>
          </w:p>
        </w:tc>
      </w:tr>
      <w:tr>
        <w:trPr>
          <w:cantSplit/>
          <w:trHeight w:val="23"/>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Belegungslogik (wenn alternative Auswahl, etc.):</w:t>
            </w:r>
            <w:r>
              <w:rPr>
                <w:color w:val="000000" w:themeColor="text1"/>
                <w:sz w:val="18"/>
              </w:rPr>
              <w:t xml:space="preserve"> Vorlesung und Seminar für alle Studienanfänger des Masters Biologie und Biotechnologie; „</w:t>
            </w:r>
            <w:proofErr w:type="spellStart"/>
            <w:r>
              <w:rPr>
                <w:color w:val="000000" w:themeColor="text1"/>
                <w:sz w:val="18"/>
              </w:rPr>
              <w:t>Alignment</w:t>
            </w:r>
            <w:proofErr w:type="spellEnd"/>
            <w:r>
              <w:rPr>
                <w:color w:val="000000" w:themeColor="text1"/>
                <w:sz w:val="18"/>
              </w:rPr>
              <w:t xml:space="preserve"> </w:t>
            </w:r>
            <w:proofErr w:type="spellStart"/>
            <w:r>
              <w:rPr>
                <w:color w:val="000000" w:themeColor="text1"/>
                <w:sz w:val="18"/>
              </w:rPr>
              <w:t>Internship</w:t>
            </w:r>
            <w:proofErr w:type="spellEnd"/>
            <w:r>
              <w:rPr>
                <w:color w:val="000000" w:themeColor="text1"/>
                <w:sz w:val="18"/>
              </w:rPr>
              <w:t>“ für Studierende mit Defiziten in der laborpraktischen Ausbildung</w:t>
            </w:r>
          </w:p>
        </w:tc>
      </w:tr>
      <w:tr>
        <w:trPr>
          <w:cantSplit/>
          <w:trHeight w:val="23"/>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Lehrende:</w:t>
            </w:r>
          </w:p>
          <w:p>
            <w:pPr>
              <w:spacing w:line="259" w:lineRule="auto"/>
              <w:ind w:left="0" w:firstLine="0"/>
            </w:pPr>
            <w:r>
              <w:rPr>
                <w:rFonts w:eastAsia="Arial" w:cs="Arial"/>
                <w:color w:val="000000"/>
              </w:rPr>
              <w:t xml:space="preserve">Prof. Dr. Michael Steinert (TU BS), Dr. Lina Scheithauer (TU BS), Lehrende der TU Braunschweig im Forschungsschwerpunkt „Engineering </w:t>
            </w:r>
            <w:proofErr w:type="spellStart"/>
            <w:r>
              <w:rPr>
                <w:rFonts w:eastAsia="Arial" w:cs="Arial"/>
                <w:color w:val="000000"/>
              </w:rPr>
              <w:t>for</w:t>
            </w:r>
            <w:proofErr w:type="spellEnd"/>
            <w:r>
              <w:rPr>
                <w:rFonts w:eastAsia="Arial" w:cs="Arial"/>
                <w:color w:val="000000"/>
              </w:rPr>
              <w:t xml:space="preserve"> </w:t>
            </w:r>
            <w:proofErr w:type="spellStart"/>
            <w:r>
              <w:rPr>
                <w:rFonts w:eastAsia="Arial" w:cs="Arial"/>
                <w:color w:val="000000"/>
              </w:rPr>
              <w:t>Health</w:t>
            </w:r>
            <w:proofErr w:type="spellEnd"/>
            <w:r>
              <w:rPr>
                <w:rFonts w:eastAsia="Arial" w:cs="Arial"/>
                <w:color w:val="000000"/>
              </w:rPr>
              <w:t xml:space="preserve">“, Externe </w:t>
            </w:r>
            <w:proofErr w:type="spellStart"/>
            <w:r>
              <w:rPr>
                <w:rFonts w:eastAsia="Arial" w:cs="Arial"/>
                <w:color w:val="000000"/>
              </w:rPr>
              <w:t>DozentInnen</w:t>
            </w:r>
            <w:proofErr w:type="spellEnd"/>
            <w:r>
              <w:rPr>
                <w:rFonts w:eastAsia="Arial" w:cs="Arial"/>
                <w:color w:val="000000"/>
              </w:rPr>
              <w:t xml:space="preserve"> (HZI, DSMZ, IIT Bombay)</w:t>
            </w:r>
          </w:p>
        </w:tc>
      </w:tr>
      <w:tr>
        <w:trPr>
          <w:cantSplit/>
          <w:trHeight w:val="2521"/>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Qualifikationsziele:</w:t>
            </w:r>
          </w:p>
          <w:p>
            <w:pPr>
              <w:spacing w:line="259" w:lineRule="auto"/>
              <w:ind w:left="0" w:firstLine="0"/>
              <w:rPr>
                <w:rFonts w:eastAsia="Arial" w:cs="Arial"/>
                <w:color w:val="000000"/>
              </w:rPr>
            </w:pPr>
            <w:r>
              <w:rPr>
                <w:rFonts w:eastAsia="Arial" w:cs="Arial"/>
                <w:color w:val="000000"/>
              </w:rPr>
              <w:t>(de)</w:t>
            </w:r>
          </w:p>
          <w:p>
            <w:pPr>
              <w:spacing w:line="259" w:lineRule="auto"/>
              <w:ind w:left="0" w:firstLine="0"/>
              <w:rPr>
                <w:rFonts w:eastAsia="Arial" w:cs="Arial"/>
                <w:color w:val="000000"/>
              </w:rPr>
            </w:pPr>
            <w:r>
              <w:rPr>
                <w:rFonts w:eastAsia="Arial" w:cs="Arial"/>
                <w:color w:val="000000"/>
              </w:rPr>
              <w:t xml:space="preserve">Nach Abschluss der englischsprachigen Vorlesung, </w:t>
            </w:r>
            <w:r>
              <w:rPr>
                <w:rFonts w:eastAsia="Arial" w:cs="Arial"/>
              </w:rPr>
              <w:t xml:space="preserve">des Tutoriums (u.a. Fachgruppe) und des Seminars </w:t>
            </w:r>
            <w:r>
              <w:rPr>
                <w:rFonts w:eastAsia="Arial" w:cs="Arial"/>
                <w:color w:val="000000"/>
              </w:rPr>
              <w:t>sind die Studierenden in der Lage</w:t>
            </w:r>
          </w:p>
          <w:p>
            <w:pPr>
              <w:pStyle w:val="Listenabsatz"/>
              <w:numPr>
                <w:ilvl w:val="0"/>
                <w:numId w:val="2"/>
              </w:numPr>
            </w:pPr>
            <w:r>
              <w:t>den „</w:t>
            </w:r>
            <w:proofErr w:type="spellStart"/>
            <w:r>
              <w:t>One</w:t>
            </w:r>
            <w:proofErr w:type="spellEnd"/>
            <w:r>
              <w:t>-</w:t>
            </w:r>
            <w:proofErr w:type="spellStart"/>
            <w:r>
              <w:t>Health</w:t>
            </w:r>
            <w:proofErr w:type="spellEnd"/>
            <w:r>
              <w:t xml:space="preserve">-Ansatz“ zu erklären und den Forschungsschwerpunkt der TU Braunschweig „Engineering </w:t>
            </w:r>
            <w:proofErr w:type="spellStart"/>
            <w:r>
              <w:t>for</w:t>
            </w:r>
            <w:proofErr w:type="spellEnd"/>
            <w:r>
              <w:t xml:space="preserve"> </w:t>
            </w:r>
            <w:proofErr w:type="spellStart"/>
            <w:r>
              <w:t>Health</w:t>
            </w:r>
            <w:proofErr w:type="spellEnd"/>
            <w:r>
              <w:t>“ anhand des erworbenen Spezialwissens fachkompetent zu beschreiben</w:t>
            </w:r>
          </w:p>
          <w:p>
            <w:pPr>
              <w:pStyle w:val="Listenabsatz"/>
              <w:numPr>
                <w:ilvl w:val="0"/>
                <w:numId w:val="2"/>
              </w:numPr>
            </w:pPr>
            <w:r>
              <w:t>aktuelle Forschungsprojekte mit Hilfe von Arbeitshypothesen und methodischen Lösungsstrategien weiterzuentwickeln (Fach- und Methodenkompetenz)</w:t>
            </w:r>
          </w:p>
          <w:p>
            <w:pPr>
              <w:pStyle w:val="Listenabsatz"/>
              <w:numPr>
                <w:ilvl w:val="0"/>
                <w:numId w:val="2"/>
              </w:numPr>
            </w:pPr>
            <w:r>
              <w:t>die interdisziplinäre Thematik in englischer Sprache zu kommunizieren, wissenschaftliche Ressourcen in gemischten internationalen Teams (Gruppenarbeit, „Student Tandems“) zu bearbeiten und zu präsentieren (Sozial- und Selbstkompetenz)</w:t>
            </w:r>
          </w:p>
          <w:p>
            <w:pPr>
              <w:pStyle w:val="Listenabsatz"/>
              <w:numPr>
                <w:ilvl w:val="0"/>
                <w:numId w:val="2"/>
              </w:numPr>
            </w:pPr>
            <w:r>
              <w:t xml:space="preserve">sich mit internationalen </w:t>
            </w:r>
            <w:proofErr w:type="spellStart"/>
            <w:r>
              <w:t>GastdozentInnen</w:t>
            </w:r>
            <w:proofErr w:type="spellEnd"/>
            <w:r>
              <w:t xml:space="preserve"> (Digitale Lehrkooperation, Online-Vorträge und -Diskussionen) und Austauschstudierenden („</w:t>
            </w:r>
            <w:proofErr w:type="spellStart"/>
            <w:r>
              <w:t>Incomings</w:t>
            </w:r>
            <w:proofErr w:type="spellEnd"/>
            <w:r>
              <w:t xml:space="preserve">“ ERASMUS und </w:t>
            </w:r>
            <w:proofErr w:type="spellStart"/>
            <w:r>
              <w:t>Overseas</w:t>
            </w:r>
            <w:proofErr w:type="spellEnd"/>
            <w:r>
              <w:t>) auszutauschen und zu vernetzen (Interkulturelle Kompetenz)</w:t>
            </w:r>
          </w:p>
          <w:p>
            <w:pPr>
              <w:pStyle w:val="Listenabsatz"/>
              <w:numPr>
                <w:ilvl w:val="0"/>
                <w:numId w:val="2"/>
              </w:numPr>
            </w:pPr>
            <w:r>
              <w:t>sich mit Beginn des Masterstudiums an der Etablierung einer Willkommenskultur zu beteiligen, fachliche und organisatorische Orientierung an internationale Gaststudierende weiterzugeben</w:t>
            </w:r>
          </w:p>
          <w:p>
            <w:pPr>
              <w:ind w:left="276" w:firstLine="0"/>
            </w:pPr>
          </w:p>
          <w:p>
            <w:pPr>
              <w:rPr>
                <w:color w:val="FF0000"/>
              </w:rPr>
            </w:pPr>
            <w:r>
              <w:t>Nach Abschluss des Praktikums („</w:t>
            </w:r>
            <w:proofErr w:type="spellStart"/>
            <w:r>
              <w:t>Alignment</w:t>
            </w:r>
            <w:proofErr w:type="spellEnd"/>
            <w:r>
              <w:t xml:space="preserve"> </w:t>
            </w:r>
            <w:proofErr w:type="spellStart"/>
            <w:r>
              <w:t>Internship</w:t>
            </w:r>
            <w:proofErr w:type="spellEnd"/>
            <w:r>
              <w:t>“) sind die Studierenden in der Lage</w:t>
            </w:r>
          </w:p>
          <w:p>
            <w:pPr>
              <w:pStyle w:val="Listenabsatz"/>
              <w:numPr>
                <w:ilvl w:val="0"/>
                <w:numId w:val="2"/>
              </w:numPr>
            </w:pPr>
            <w:r>
              <w:t>die Laborsicherheit zu berücksichtigen und steril zu arbeiten</w:t>
            </w:r>
          </w:p>
          <w:p>
            <w:pPr>
              <w:pStyle w:val="Listenabsatz"/>
              <w:numPr>
                <w:ilvl w:val="0"/>
                <w:numId w:val="2"/>
              </w:numPr>
            </w:pPr>
            <w:r>
              <w:t>mit Pipetten umzugehen, Puffer, Lösungen und Medien selbstständig herzustellen</w:t>
            </w:r>
          </w:p>
          <w:p>
            <w:pPr>
              <w:pStyle w:val="Listenabsatz"/>
              <w:numPr>
                <w:ilvl w:val="0"/>
                <w:numId w:val="2"/>
              </w:numPr>
            </w:pPr>
            <w:r>
              <w:t xml:space="preserve">grundlegende molekular-, mikro-, zellbiologische und biochemische Methoden eigenständig durchzuführen </w:t>
            </w:r>
          </w:p>
          <w:p>
            <w:pPr>
              <w:pStyle w:val="Listenabsatz"/>
              <w:numPr>
                <w:ilvl w:val="0"/>
                <w:numId w:val="2"/>
              </w:numPr>
            </w:pPr>
            <w:r>
              <w:t>Daten und Ergebnisse zu analysieren und zu protokollieren</w:t>
            </w:r>
          </w:p>
          <w:p/>
          <w:p>
            <w:pPr>
              <w:rPr>
                <w:lang w:val="en-US"/>
              </w:rPr>
            </w:pPr>
            <w:r>
              <w:rPr>
                <w:lang w:val="en-US"/>
              </w:rPr>
              <w:t>(</w:t>
            </w:r>
            <w:proofErr w:type="spellStart"/>
            <w:r>
              <w:rPr>
                <w:lang w:val="en-US"/>
              </w:rPr>
              <w:t>en</w:t>
            </w:r>
            <w:proofErr w:type="spellEnd"/>
            <w:r>
              <w:rPr>
                <w:lang w:val="en-US"/>
              </w:rPr>
              <w:t>)</w:t>
            </w:r>
          </w:p>
          <w:p>
            <w:pPr>
              <w:rPr>
                <w:lang w:val="en-US"/>
              </w:rPr>
            </w:pPr>
            <w:r>
              <w:rPr>
                <w:lang w:val="en-US"/>
              </w:rPr>
              <w:t>After completing the English-language lecture, the tutorial (e.g. “</w:t>
            </w:r>
            <w:proofErr w:type="spellStart"/>
            <w:r>
              <w:rPr>
                <w:lang w:val="en-US"/>
              </w:rPr>
              <w:t>Fachgruppe</w:t>
            </w:r>
            <w:proofErr w:type="spellEnd"/>
            <w:r>
              <w:rPr>
                <w:lang w:val="en-US"/>
              </w:rPr>
              <w:t>”) and the seminar, students will be able to</w:t>
            </w:r>
          </w:p>
          <w:p>
            <w:pPr>
              <w:pStyle w:val="Listenabsatz"/>
              <w:numPr>
                <w:ilvl w:val="0"/>
                <w:numId w:val="2"/>
              </w:numPr>
              <w:rPr>
                <w:lang w:val="en-US"/>
              </w:rPr>
            </w:pPr>
            <w:r>
              <w:rPr>
                <w:lang w:val="en-US"/>
              </w:rPr>
              <w:t xml:space="preserve">explain the “One Health Approach” and competently describe the TU </w:t>
            </w:r>
            <w:proofErr w:type="spellStart"/>
            <w:r>
              <w:rPr>
                <w:lang w:val="en-US"/>
              </w:rPr>
              <w:t>Braunschweig's</w:t>
            </w:r>
            <w:proofErr w:type="spellEnd"/>
            <w:r>
              <w:rPr>
                <w:lang w:val="en-US"/>
              </w:rPr>
              <w:t xml:space="preserve"> research focus “Engineering for Health” based on the </w:t>
            </w:r>
            <w:proofErr w:type="spellStart"/>
            <w:r>
              <w:rPr>
                <w:lang w:val="en-US"/>
              </w:rPr>
              <w:t>specialised</w:t>
            </w:r>
            <w:proofErr w:type="spellEnd"/>
            <w:r>
              <w:rPr>
                <w:lang w:val="en-US"/>
              </w:rPr>
              <w:t xml:space="preserve"> knowledge they have acquired</w:t>
            </w:r>
          </w:p>
          <w:p>
            <w:pPr>
              <w:pStyle w:val="Listenabsatz"/>
              <w:numPr>
                <w:ilvl w:val="0"/>
                <w:numId w:val="2"/>
              </w:numPr>
              <w:rPr>
                <w:lang w:val="en-US"/>
              </w:rPr>
            </w:pPr>
            <w:r>
              <w:rPr>
                <w:lang w:val="en-US"/>
              </w:rPr>
              <w:t>further develop current research projects with working hypotheses and methodological solution strategies (professional and methodological competence)</w:t>
            </w:r>
          </w:p>
          <w:p>
            <w:pPr>
              <w:pStyle w:val="Listenabsatz"/>
              <w:numPr>
                <w:ilvl w:val="0"/>
                <w:numId w:val="2"/>
              </w:numPr>
              <w:rPr>
                <w:lang w:val="en-US"/>
              </w:rPr>
            </w:pPr>
            <w:r>
              <w:rPr>
                <w:lang w:val="en-US"/>
              </w:rPr>
              <w:t>communicate the interdisciplinary topic in English, work on and present scientific resources in mixed international teams (group work, student tandems) (social and personal competence)</w:t>
            </w:r>
          </w:p>
          <w:p>
            <w:pPr>
              <w:pStyle w:val="Listenabsatz"/>
              <w:numPr>
                <w:ilvl w:val="0"/>
                <w:numId w:val="2"/>
              </w:numPr>
              <w:rPr>
                <w:lang w:val="en-US"/>
              </w:rPr>
            </w:pPr>
            <w:r>
              <w:rPr>
                <w:lang w:val="en-US"/>
              </w:rPr>
              <w:t>network and exchange ideas with international guest lecturers (digital teaching cooperation, online lectures and discussions) and exchange students (Incoming ERASMUS and overseas students) (intercultural competence)</w:t>
            </w:r>
          </w:p>
          <w:p>
            <w:pPr>
              <w:pStyle w:val="Listenabsatz"/>
              <w:numPr>
                <w:ilvl w:val="0"/>
                <w:numId w:val="2"/>
              </w:numPr>
              <w:rPr>
                <w:lang w:val="en-US"/>
              </w:rPr>
            </w:pPr>
            <w:r>
              <w:rPr>
                <w:lang w:val="en-US"/>
              </w:rPr>
              <w:t xml:space="preserve">to participate in the establishment of a welcoming culture at the beginning of the Master's degree </w:t>
            </w:r>
            <w:proofErr w:type="spellStart"/>
            <w:r>
              <w:rPr>
                <w:lang w:val="en-US"/>
              </w:rPr>
              <w:t>programme</w:t>
            </w:r>
            <w:proofErr w:type="spellEnd"/>
            <w:r>
              <w:rPr>
                <w:lang w:val="en-US"/>
              </w:rPr>
              <w:t xml:space="preserve">, to pass on scientific and </w:t>
            </w:r>
            <w:proofErr w:type="spellStart"/>
            <w:r>
              <w:rPr>
                <w:lang w:val="en-US"/>
              </w:rPr>
              <w:t>organisational</w:t>
            </w:r>
            <w:proofErr w:type="spellEnd"/>
            <w:r>
              <w:rPr>
                <w:lang w:val="en-US"/>
              </w:rPr>
              <w:t xml:space="preserve"> orientation to international guest students</w:t>
            </w:r>
          </w:p>
          <w:p>
            <w:pPr>
              <w:rPr>
                <w:lang w:val="en-US"/>
              </w:rPr>
            </w:pPr>
          </w:p>
          <w:p>
            <w:pPr>
              <w:rPr>
                <w:lang w:val="en-US"/>
              </w:rPr>
            </w:pPr>
            <w:r>
              <w:rPr>
                <w:lang w:val="en-US"/>
              </w:rPr>
              <w:t>After completing the practical course (Alignment Internship), students will be able to</w:t>
            </w:r>
          </w:p>
          <w:p>
            <w:pPr>
              <w:pStyle w:val="Listenabsatz"/>
              <w:numPr>
                <w:ilvl w:val="0"/>
                <w:numId w:val="2"/>
              </w:numPr>
              <w:rPr>
                <w:lang w:val="en-US"/>
              </w:rPr>
            </w:pPr>
            <w:r>
              <w:rPr>
                <w:lang w:val="en-US"/>
              </w:rPr>
              <w:t>meet laboratory safety and work in a sterile environment</w:t>
            </w:r>
          </w:p>
          <w:p>
            <w:pPr>
              <w:pStyle w:val="Listenabsatz"/>
              <w:numPr>
                <w:ilvl w:val="0"/>
                <w:numId w:val="2"/>
              </w:numPr>
              <w:rPr>
                <w:lang w:val="en-US"/>
              </w:rPr>
            </w:pPr>
            <w:r>
              <w:rPr>
                <w:lang w:val="en-US"/>
              </w:rPr>
              <w:t>handle pipettes, prepare buffers, solutions and media independently</w:t>
            </w:r>
          </w:p>
          <w:p>
            <w:pPr>
              <w:pStyle w:val="Listenabsatz"/>
              <w:numPr>
                <w:ilvl w:val="0"/>
                <w:numId w:val="2"/>
              </w:numPr>
              <w:rPr>
                <w:lang w:val="en-US"/>
              </w:rPr>
            </w:pPr>
            <w:r>
              <w:rPr>
                <w:lang w:val="en-US"/>
              </w:rPr>
              <w:t xml:space="preserve">carry out basic molecular, microbiological, cell biological and biochemical methods independently </w:t>
            </w:r>
          </w:p>
          <w:p>
            <w:pPr>
              <w:pStyle w:val="Listenabsatz"/>
              <w:numPr>
                <w:ilvl w:val="0"/>
                <w:numId w:val="2"/>
              </w:numPr>
              <w:rPr>
                <w:lang w:val="en-US"/>
              </w:rPr>
            </w:pPr>
            <w:proofErr w:type="spellStart"/>
            <w:r>
              <w:rPr>
                <w:lang w:val="en-US"/>
              </w:rPr>
              <w:t>analyse</w:t>
            </w:r>
            <w:proofErr w:type="spellEnd"/>
            <w:r>
              <w:rPr>
                <w:lang w:val="en-US"/>
              </w:rPr>
              <w:t xml:space="preserve"> and record data and results</w:t>
            </w:r>
          </w:p>
        </w:tc>
      </w:tr>
      <w:tr>
        <w:trPr>
          <w:cantSplit/>
          <w:trHeight w:val="4015"/>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Inhalte:</w:t>
            </w:r>
          </w:p>
          <w:p>
            <w:pPr>
              <w:spacing w:line="259" w:lineRule="auto"/>
              <w:ind w:left="0" w:firstLine="0"/>
              <w:rPr>
                <w:rFonts w:eastAsia="Arial" w:cs="Arial"/>
                <w:color w:val="000000"/>
                <w:szCs w:val="20"/>
              </w:rPr>
            </w:pPr>
            <w:r>
              <w:rPr>
                <w:rFonts w:eastAsia="Arial" w:cs="Arial"/>
                <w:color w:val="000000"/>
                <w:szCs w:val="20"/>
              </w:rPr>
              <w:t>(de)</w:t>
            </w:r>
          </w:p>
          <w:p>
            <w:pPr>
              <w:spacing w:line="259" w:lineRule="auto"/>
              <w:ind w:left="0" w:firstLine="0"/>
              <w:rPr>
                <w:rFonts w:eastAsia="Arial" w:cs="Arial"/>
                <w:color w:val="000000"/>
                <w:szCs w:val="20"/>
              </w:rPr>
            </w:pPr>
            <w:r>
              <w:rPr>
                <w:rFonts w:eastAsia="Arial" w:cs="Arial"/>
                <w:color w:val="000000"/>
                <w:szCs w:val="20"/>
              </w:rPr>
              <w:t>Vorlesung</w:t>
            </w:r>
            <w:r>
              <w:rPr>
                <w:rFonts w:eastAsia="Arial" w:cs="Arial"/>
                <w:color w:val="000000" w:themeColor="text1"/>
                <w:szCs w:val="20"/>
              </w:rPr>
              <w:t xml:space="preserve"> und Tutorium</w:t>
            </w:r>
            <w:r>
              <w:rPr>
                <w:rFonts w:eastAsia="Arial" w:cs="Arial"/>
                <w:color w:val="000000"/>
                <w:szCs w:val="20"/>
              </w:rPr>
              <w:t>:</w:t>
            </w:r>
          </w:p>
          <w:p>
            <w:pPr>
              <w:spacing w:line="259" w:lineRule="auto"/>
              <w:ind w:left="0" w:firstLine="0"/>
              <w:rPr>
                <w:rFonts w:cs="Arial"/>
                <w:szCs w:val="20"/>
              </w:rPr>
            </w:pPr>
            <w:r>
              <w:rPr>
                <w:rFonts w:eastAsia="Arial" w:cs="Arial"/>
                <w:color w:val="000000"/>
                <w:szCs w:val="20"/>
              </w:rPr>
              <w:t xml:space="preserve">In der Ringvorlesung und im Tutorium werden: </w:t>
            </w:r>
          </w:p>
          <w:p>
            <w:pPr>
              <w:pStyle w:val="Listenabsatz"/>
              <w:numPr>
                <w:ilvl w:val="0"/>
                <w:numId w:val="2"/>
              </w:numPr>
              <w:rPr>
                <w:lang w:val="en-US"/>
              </w:rPr>
            </w:pPr>
            <w:proofErr w:type="spellStart"/>
            <w:r>
              <w:rPr>
                <w:lang w:val="en-US"/>
              </w:rPr>
              <w:t>grundlegende</w:t>
            </w:r>
            <w:proofErr w:type="spellEnd"/>
            <w:r>
              <w:rPr>
                <w:lang w:val="en-US"/>
              </w:rPr>
              <w:t xml:space="preserve"> </w:t>
            </w:r>
            <w:proofErr w:type="spellStart"/>
            <w:r>
              <w:rPr>
                <w:lang w:val="en-US"/>
              </w:rPr>
              <w:t>Kenntnisse</w:t>
            </w:r>
            <w:proofErr w:type="spellEnd"/>
            <w:r>
              <w:rPr>
                <w:lang w:val="en-US"/>
              </w:rPr>
              <w:t xml:space="preserve"> </w:t>
            </w:r>
            <w:proofErr w:type="spellStart"/>
            <w:r>
              <w:rPr>
                <w:lang w:val="en-US"/>
              </w:rPr>
              <w:t>zum</w:t>
            </w:r>
            <w:proofErr w:type="spellEnd"/>
            <w:r>
              <w:rPr>
                <w:lang w:val="en-US"/>
              </w:rPr>
              <w:t xml:space="preserve"> </w:t>
            </w:r>
            <w:proofErr w:type="spellStart"/>
            <w:r>
              <w:rPr>
                <w:lang w:val="en-US"/>
              </w:rPr>
              <w:t>Thema</w:t>
            </w:r>
            <w:proofErr w:type="spellEnd"/>
            <w:r>
              <w:rPr>
                <w:lang w:val="en-US"/>
              </w:rPr>
              <w:t xml:space="preserve"> „One Health“ („Human Health, Biodiversity Climate Change, Water and Plant Health, Environmental Pollution, Infectious Diseases and </w:t>
            </w:r>
            <w:proofErr w:type="spellStart"/>
            <w:r>
              <w:rPr>
                <w:lang w:val="en-US"/>
              </w:rPr>
              <w:t>Zoonoses</w:t>
            </w:r>
            <w:proofErr w:type="spellEnd"/>
            <w:r>
              <w:rPr>
                <w:lang w:val="en-US"/>
              </w:rPr>
              <w:t xml:space="preserve">, Antibiotic Resistance, Data Modelling and AI, Public Health, Ethical Stewardship”) </w:t>
            </w:r>
            <w:proofErr w:type="spellStart"/>
            <w:r>
              <w:rPr>
                <w:lang w:val="en-US"/>
              </w:rPr>
              <w:t>vermittelt</w:t>
            </w:r>
            <w:proofErr w:type="spellEnd"/>
            <w:r>
              <w:rPr>
                <w:lang w:val="en-US"/>
              </w:rPr>
              <w:t xml:space="preserve"> </w:t>
            </w:r>
          </w:p>
          <w:p>
            <w:pPr>
              <w:pStyle w:val="Listenabsatz"/>
              <w:numPr>
                <w:ilvl w:val="0"/>
                <w:numId w:val="2"/>
              </w:numPr>
            </w:pPr>
            <w:r>
              <w:t>entsprechend den Schwerpunktsäulen der Biologie (Zellbiologie und Neurobiologie, Mikrobiologie und Infektionsbiologie, Genetik und Immunbiologie, Systembiologie und Biotechnologie) und Biotechnologie (Molekular- und Zellbiologie, Bioprozesstechnik) fachliches Grund- und Spezialwissen mit Hilfe konkreter aktueller Forschungsprojekte der biowissenschaftlichen Abteilungen vermittelt und diskutiert. Hierdurch erhalten die Studierenden einen guten Überblick über die verschiedenen Arbeitsgebiete in den Fächern Biologie und Biotechnologie.</w:t>
            </w:r>
          </w:p>
          <w:p>
            <w:pPr>
              <w:pStyle w:val="Listenabsatz"/>
              <w:numPr>
                <w:ilvl w:val="0"/>
                <w:numId w:val="2"/>
              </w:numPr>
            </w:pPr>
            <w:r>
              <w:t xml:space="preserve">die Studierenden mit den </w:t>
            </w:r>
            <w:proofErr w:type="spellStart"/>
            <w:r>
              <w:t>studiengangsspezifischen</w:t>
            </w:r>
            <w:proofErr w:type="spellEnd"/>
            <w:r>
              <w:t xml:space="preserve"> Bestimmungen und Organisationseinheiten vertraut gemacht (</w:t>
            </w:r>
            <w:proofErr w:type="spellStart"/>
            <w:r>
              <w:t>StudIP</w:t>
            </w:r>
            <w:proofErr w:type="spellEnd"/>
            <w:r>
              <w:t xml:space="preserve">, </w:t>
            </w:r>
            <w:proofErr w:type="spellStart"/>
            <w:r>
              <w:t>TUconnect</w:t>
            </w:r>
            <w:proofErr w:type="spellEnd"/>
            <w:r>
              <w:t>)</w:t>
            </w:r>
          </w:p>
          <w:p>
            <w:pPr>
              <w:spacing w:line="259" w:lineRule="auto"/>
              <w:ind w:left="0" w:firstLine="0"/>
              <w:rPr>
                <w:rFonts w:eastAsia="Arial" w:cs="Arial"/>
                <w:color w:val="000000"/>
              </w:rPr>
            </w:pPr>
          </w:p>
          <w:p>
            <w:pPr>
              <w:spacing w:line="259" w:lineRule="auto"/>
              <w:ind w:left="0" w:firstLine="0"/>
              <w:rPr>
                <w:rFonts w:eastAsia="Arial" w:cs="Arial"/>
                <w:color w:val="000000"/>
              </w:rPr>
            </w:pPr>
            <w:r>
              <w:rPr>
                <w:rFonts w:eastAsia="Arial" w:cs="Arial"/>
                <w:color w:val="000000"/>
              </w:rPr>
              <w:t>Seminar:</w:t>
            </w:r>
          </w:p>
          <w:p>
            <w:pPr>
              <w:spacing w:line="259" w:lineRule="auto"/>
              <w:ind w:left="0" w:firstLine="0"/>
              <w:rPr>
                <w:rFonts w:cs="Arial"/>
              </w:rPr>
            </w:pPr>
            <w:r>
              <w:rPr>
                <w:rFonts w:eastAsia="Arial" w:cs="Arial"/>
                <w:color w:val="000000"/>
              </w:rPr>
              <w:t xml:space="preserve">Im Seminar werden die </w:t>
            </w:r>
            <w:r>
              <w:rPr>
                <w:rFonts w:cs="Arial"/>
              </w:rPr>
              <w:t xml:space="preserve">Studierenden in international gemischten Kleingruppen wissenschaftliche Projektzusammenfassungen schreiben, Arbeitshypothesen ausarbeiten, dokumentieren, präsentieren und diskutieren. </w:t>
            </w:r>
          </w:p>
          <w:p>
            <w:pPr>
              <w:spacing w:line="276" w:lineRule="auto"/>
              <w:rPr>
                <w:rFonts w:cs="Arial"/>
              </w:rPr>
            </w:pPr>
          </w:p>
          <w:p>
            <w:pPr>
              <w:pStyle w:val="Aufzhlung"/>
              <w:numPr>
                <w:ilvl w:val="0"/>
                <w:numId w:val="0"/>
              </w:numPr>
            </w:pPr>
            <w:r>
              <w:t>Praktikum:</w:t>
            </w:r>
          </w:p>
          <w:p>
            <w:pPr>
              <w:pStyle w:val="Kommentartext"/>
            </w:pPr>
            <w:r>
              <w:t xml:space="preserve">Im Praktikum werden den Studierenden bedarfsorientiert grundlegende Methoden der Molekularbiologie, Zellbiologie, Mikrobiologie und Biochemie vermittelt, sowie unter Anleitung durchgeführt, analysiert und ausgewertet (Laborsicherheit, </w:t>
            </w:r>
            <w:proofErr w:type="spellStart"/>
            <w:r>
              <w:t>Pipettenkunde</w:t>
            </w:r>
            <w:proofErr w:type="spellEnd"/>
            <w:r>
              <w:t xml:space="preserve">, Laborrechnen, DNA-Isolierung, Polymerase-Kettenreaktion, </w:t>
            </w:r>
            <w:proofErr w:type="spellStart"/>
            <w:r>
              <w:t>Agarosegelelektrophorese</w:t>
            </w:r>
            <w:proofErr w:type="spellEnd"/>
            <w:r>
              <w:t xml:space="preserve">, Transformation, SDS-PAGE, Western </w:t>
            </w:r>
            <w:proofErr w:type="spellStart"/>
            <w:r>
              <w:t>Blot</w:t>
            </w:r>
            <w:proofErr w:type="spellEnd"/>
            <w:r>
              <w:t>, Wachstumskurve, Zellkultur, ELISA, Datenauswertung). Dieses „</w:t>
            </w:r>
            <w:proofErr w:type="spellStart"/>
            <w:r>
              <w:t>Alignment</w:t>
            </w:r>
            <w:proofErr w:type="spellEnd"/>
            <w:r>
              <w:t xml:space="preserve"> </w:t>
            </w:r>
            <w:proofErr w:type="spellStart"/>
            <w:r>
              <w:t>Internship</w:t>
            </w:r>
            <w:proofErr w:type="spellEnd"/>
            <w:r>
              <w:t>“ soll Defizite der Studierenden in der laborpraktischen Ausbildung minimieren.</w:t>
            </w:r>
          </w:p>
          <w:p>
            <w:pPr>
              <w:pStyle w:val="Kommentartext"/>
            </w:pPr>
          </w:p>
          <w:p>
            <w:pPr>
              <w:pStyle w:val="Kommentartext"/>
              <w:rPr>
                <w:lang w:val="en-US"/>
              </w:rPr>
            </w:pPr>
            <w:r>
              <w:rPr>
                <w:lang w:val="en-US"/>
              </w:rPr>
              <w:t>(</w:t>
            </w:r>
            <w:proofErr w:type="spellStart"/>
            <w:r>
              <w:rPr>
                <w:lang w:val="en-US"/>
              </w:rPr>
              <w:t>en</w:t>
            </w:r>
            <w:proofErr w:type="spellEnd"/>
            <w:r>
              <w:rPr>
                <w:lang w:val="en-US"/>
              </w:rPr>
              <w:t>)</w:t>
            </w:r>
          </w:p>
          <w:p>
            <w:pPr>
              <w:pStyle w:val="Kommentartext"/>
              <w:rPr>
                <w:lang w:val="en-US"/>
              </w:rPr>
            </w:pPr>
            <w:r>
              <w:rPr>
                <w:lang w:val="en-US"/>
              </w:rPr>
              <w:t>Lecture and tutorial:</w:t>
            </w:r>
          </w:p>
          <w:p>
            <w:pPr>
              <w:pStyle w:val="Kommentartext"/>
              <w:rPr>
                <w:lang w:val="en-US"/>
              </w:rPr>
            </w:pPr>
            <w:r>
              <w:rPr>
                <w:lang w:val="en-US"/>
              </w:rPr>
              <w:t xml:space="preserve">In the lecture series and tutorial: </w:t>
            </w:r>
          </w:p>
          <w:p>
            <w:pPr>
              <w:pStyle w:val="Listenabsatz"/>
              <w:numPr>
                <w:ilvl w:val="0"/>
                <w:numId w:val="2"/>
              </w:numPr>
              <w:rPr>
                <w:lang w:val="en-US"/>
              </w:rPr>
            </w:pPr>
            <w:r>
              <w:rPr>
                <w:lang w:val="en-US"/>
              </w:rPr>
              <w:t xml:space="preserve">basic knowledge of the topic “One Health” (Human Health, Biodiversity Climate Change, Water and Plant Health, Environmental Pollution, Infectious Diseases and </w:t>
            </w:r>
            <w:proofErr w:type="spellStart"/>
            <w:r>
              <w:rPr>
                <w:lang w:val="en-US"/>
              </w:rPr>
              <w:t>Zoonoses</w:t>
            </w:r>
            <w:proofErr w:type="spellEnd"/>
            <w:r>
              <w:rPr>
                <w:lang w:val="en-US"/>
              </w:rPr>
              <w:t xml:space="preserve">, Antibiotic Resistance, Data Modelling and AI, Public Health, Ethical Stewardship) is taught </w:t>
            </w:r>
          </w:p>
          <w:p>
            <w:pPr>
              <w:pStyle w:val="Listenabsatz"/>
              <w:numPr>
                <w:ilvl w:val="0"/>
                <w:numId w:val="2"/>
              </w:numPr>
              <w:rPr>
                <w:lang w:val="en-US"/>
              </w:rPr>
            </w:pPr>
            <w:proofErr w:type="gramStart"/>
            <w:r>
              <w:rPr>
                <w:lang w:val="en-US"/>
              </w:rPr>
              <w:t>basic</w:t>
            </w:r>
            <w:proofErr w:type="gramEnd"/>
            <w:r>
              <w:rPr>
                <w:lang w:val="en-US"/>
              </w:rPr>
              <w:t xml:space="preserve"> and </w:t>
            </w:r>
            <w:proofErr w:type="spellStart"/>
            <w:r>
              <w:rPr>
                <w:lang w:val="en-US"/>
              </w:rPr>
              <w:t>specialised</w:t>
            </w:r>
            <w:proofErr w:type="spellEnd"/>
            <w:r>
              <w:rPr>
                <w:lang w:val="en-US"/>
              </w:rPr>
              <w:t xml:space="preserve"> knowledge according to the main pillars of biology (cell biology and neurobiology, microbiology and infection biology, genetics and </w:t>
            </w:r>
            <w:proofErr w:type="spellStart"/>
            <w:r>
              <w:rPr>
                <w:lang w:val="en-US"/>
              </w:rPr>
              <w:t>immunobiology</w:t>
            </w:r>
            <w:proofErr w:type="spellEnd"/>
            <w:r>
              <w:rPr>
                <w:lang w:val="en-US"/>
              </w:rPr>
              <w:t>, systems biology and biotechnology) and biotechnology (molecular and cell biology, bioprocess technology) are taught and discussed with the help of specific current research projects in the biosciences departments. This gives students a good overview of the various fields of work in biology and biotechnology.</w:t>
            </w:r>
          </w:p>
          <w:p>
            <w:pPr>
              <w:pStyle w:val="Listenabsatz"/>
              <w:numPr>
                <w:ilvl w:val="0"/>
                <w:numId w:val="2"/>
              </w:numPr>
              <w:rPr>
                <w:lang w:val="en-US"/>
              </w:rPr>
            </w:pPr>
            <w:r>
              <w:rPr>
                <w:lang w:val="en-US"/>
              </w:rPr>
              <w:lastRenderedPageBreak/>
              <w:t xml:space="preserve">Students are </w:t>
            </w:r>
            <w:proofErr w:type="spellStart"/>
            <w:r>
              <w:rPr>
                <w:lang w:val="en-US"/>
              </w:rPr>
              <w:t>familiarised</w:t>
            </w:r>
            <w:proofErr w:type="spellEnd"/>
            <w:r>
              <w:rPr>
                <w:lang w:val="en-US"/>
              </w:rPr>
              <w:t xml:space="preserve"> with the course-specific regulations and </w:t>
            </w:r>
            <w:proofErr w:type="spellStart"/>
            <w:r>
              <w:rPr>
                <w:lang w:val="en-US"/>
              </w:rPr>
              <w:t>organisational</w:t>
            </w:r>
            <w:proofErr w:type="spellEnd"/>
            <w:r>
              <w:rPr>
                <w:lang w:val="en-US"/>
              </w:rPr>
              <w:t xml:space="preserve"> units (</w:t>
            </w:r>
            <w:proofErr w:type="spellStart"/>
            <w:r>
              <w:rPr>
                <w:lang w:val="en-US"/>
              </w:rPr>
              <w:t>StudIP</w:t>
            </w:r>
            <w:proofErr w:type="spellEnd"/>
            <w:r>
              <w:rPr>
                <w:lang w:val="en-US"/>
              </w:rPr>
              <w:t xml:space="preserve">, </w:t>
            </w:r>
            <w:proofErr w:type="spellStart"/>
            <w:r>
              <w:rPr>
                <w:lang w:val="en-US"/>
              </w:rPr>
              <w:t>TUconnect</w:t>
            </w:r>
            <w:proofErr w:type="spellEnd"/>
            <w:r>
              <w:rPr>
                <w:lang w:val="en-US"/>
              </w:rPr>
              <w:t>)</w:t>
            </w:r>
          </w:p>
          <w:p>
            <w:pPr>
              <w:pStyle w:val="Listenabsatz"/>
              <w:numPr>
                <w:ilvl w:val="0"/>
                <w:numId w:val="0"/>
              </w:numPr>
              <w:ind w:left="360"/>
              <w:rPr>
                <w:lang w:val="en-US"/>
              </w:rPr>
            </w:pPr>
          </w:p>
          <w:p>
            <w:pPr>
              <w:pStyle w:val="Kommentartext"/>
              <w:rPr>
                <w:lang w:val="en-US"/>
              </w:rPr>
            </w:pPr>
            <w:r>
              <w:rPr>
                <w:lang w:val="en-US"/>
              </w:rPr>
              <w:t>Seminar:</w:t>
            </w:r>
          </w:p>
          <w:p>
            <w:pPr>
              <w:pStyle w:val="Kommentartext"/>
              <w:rPr>
                <w:lang w:val="en-US"/>
              </w:rPr>
            </w:pPr>
            <w:r>
              <w:rPr>
                <w:lang w:val="en-US"/>
              </w:rPr>
              <w:t>In the seminar, students will write scientific project summaries, develop, document, present and discuss working hypotheses in small internationally mixed groups.</w:t>
            </w:r>
          </w:p>
          <w:p>
            <w:pPr>
              <w:pStyle w:val="Kommentartext"/>
              <w:rPr>
                <w:lang w:val="en-US"/>
              </w:rPr>
            </w:pPr>
          </w:p>
          <w:p>
            <w:pPr>
              <w:pStyle w:val="Kommentartext"/>
              <w:rPr>
                <w:lang w:val="en-US"/>
              </w:rPr>
            </w:pPr>
            <w:r>
              <w:rPr>
                <w:lang w:val="en-US"/>
              </w:rPr>
              <w:t>Practical course:</w:t>
            </w:r>
          </w:p>
          <w:p>
            <w:pPr>
              <w:pStyle w:val="Kommentartext"/>
              <w:rPr>
                <w:lang w:val="en-US"/>
              </w:rPr>
            </w:pPr>
            <w:r>
              <w:rPr>
                <w:lang w:val="en-US"/>
              </w:rPr>
              <w:t xml:space="preserve">In the practical course, students are taught basic methods of molecular biology, cell biology, microbiology and biochemistry in a needs-oriented manner, as well as performing, </w:t>
            </w:r>
            <w:proofErr w:type="spellStart"/>
            <w:r>
              <w:rPr>
                <w:lang w:val="en-US"/>
              </w:rPr>
              <w:t>analysing</w:t>
            </w:r>
            <w:proofErr w:type="spellEnd"/>
            <w:r>
              <w:rPr>
                <w:lang w:val="en-US"/>
              </w:rPr>
              <w:t xml:space="preserve"> and evaluating them under supervision (laboratory safety, pipette skills, laboratory calculations, DNA isolation, polymerase chain reaction, agarose gel electrophoresis, transformation, SDS-PAGE, Western blot, growth curve, cell culture, ELISA, data evaluation). This Alignment Internship </w:t>
            </w:r>
            <w:proofErr w:type="gramStart"/>
            <w:r>
              <w:rPr>
                <w:lang w:val="en-US"/>
              </w:rPr>
              <w:t>is intended</w:t>
            </w:r>
            <w:proofErr w:type="gramEnd"/>
            <w:r>
              <w:rPr>
                <w:lang w:val="en-US"/>
              </w:rPr>
              <w:t xml:space="preserve"> to </w:t>
            </w:r>
            <w:proofErr w:type="spellStart"/>
            <w:r>
              <w:rPr>
                <w:lang w:val="en-US"/>
              </w:rPr>
              <w:t>minimise</w:t>
            </w:r>
            <w:proofErr w:type="spellEnd"/>
            <w:r>
              <w:rPr>
                <w:lang w:val="en-US"/>
              </w:rPr>
              <w:t xml:space="preserve"> deficits in the students' practical laboratory training.</w:t>
            </w:r>
          </w:p>
        </w:tc>
      </w:tr>
      <w:tr>
        <w:trPr>
          <w:cantSplit/>
          <w:trHeight w:val="23"/>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lastRenderedPageBreak/>
              <w:t>Lernformen:</w:t>
            </w:r>
          </w:p>
          <w:p>
            <w:pPr>
              <w:spacing w:line="259" w:lineRule="auto"/>
              <w:ind w:left="0" w:firstLine="0"/>
              <w:rPr>
                <w:rFonts w:eastAsia="Arial" w:cs="Arial"/>
                <w:color w:val="000000"/>
              </w:rPr>
            </w:pPr>
            <w:r>
              <w:rPr>
                <w:rFonts w:eastAsia="Arial" w:cs="Arial"/>
                <w:color w:val="000000"/>
              </w:rPr>
              <w:t>(de) Vorlesung und Tutorium (Hybrid), Seminar, Praktikum</w:t>
            </w:r>
          </w:p>
          <w:p>
            <w:pPr>
              <w:spacing w:line="259" w:lineRule="auto"/>
              <w:ind w:left="0" w:firstLine="0"/>
              <w:rPr>
                <w:lang w:val="en-US"/>
              </w:rPr>
            </w:pPr>
            <w:r>
              <w:rPr>
                <w:lang w:val="en-US"/>
              </w:rPr>
              <w:t>(</w:t>
            </w:r>
            <w:proofErr w:type="spellStart"/>
            <w:r>
              <w:rPr>
                <w:lang w:val="en-US"/>
              </w:rPr>
              <w:t>en</w:t>
            </w:r>
            <w:proofErr w:type="spellEnd"/>
            <w:r>
              <w:rPr>
                <w:lang w:val="en-US"/>
              </w:rPr>
              <w:t>) Lecture and tutorial (hybrid), seminar, practical course</w:t>
            </w:r>
          </w:p>
        </w:tc>
      </w:tr>
      <w:tr>
        <w:trPr>
          <w:trHeight w:val="921"/>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Prüfungsmodalitäten / Voraussetzungen zur Vergabe von Leistungspunkten:</w:t>
            </w:r>
          </w:p>
          <w:p>
            <w:pPr>
              <w:spacing w:line="259" w:lineRule="auto"/>
              <w:ind w:left="0" w:firstLine="0"/>
              <w:rPr>
                <w:rFonts w:eastAsia="Arial" w:cs="Arial"/>
                <w:color w:val="000000"/>
              </w:rPr>
            </w:pPr>
            <w:r>
              <w:rPr>
                <w:rFonts w:eastAsia="Arial" w:cs="Arial"/>
                <w:color w:val="000000"/>
              </w:rPr>
              <w:t>(de)</w:t>
            </w:r>
          </w:p>
          <w:p>
            <w:pPr>
              <w:spacing w:line="259" w:lineRule="auto"/>
              <w:ind w:left="0" w:firstLine="0"/>
            </w:pPr>
            <w:r>
              <w:rPr>
                <w:rFonts w:eastAsia="Arial" w:cs="Arial"/>
                <w:color w:val="000000"/>
              </w:rPr>
              <w:t>Studienleistung:</w:t>
            </w:r>
          </w:p>
          <w:p>
            <w:pPr>
              <w:pStyle w:val="Listenabsatz"/>
              <w:numPr>
                <w:ilvl w:val="0"/>
                <w:numId w:val="2"/>
              </w:numPr>
            </w:pPr>
            <w:r>
              <w:t>Präsentation (inkl. schriftliche Projektzusammenfassung, Hypothesenformulierung) (2 ECTS)</w:t>
            </w:r>
          </w:p>
          <w:p>
            <w:pPr>
              <w:pStyle w:val="Listenabsatz"/>
              <w:numPr>
                <w:ilvl w:val="0"/>
                <w:numId w:val="2"/>
              </w:numPr>
            </w:pPr>
            <w:r>
              <w:t>Experimentelle Arbeit (8 ECTS)</w:t>
            </w:r>
          </w:p>
          <w:p/>
          <w:p>
            <w:pPr>
              <w:pStyle w:val="Aufzhlung"/>
              <w:numPr>
                <w:ilvl w:val="0"/>
                <w:numId w:val="0"/>
              </w:numPr>
              <w:ind w:left="7" w:hanging="7"/>
            </w:pPr>
            <w:r>
              <w:t xml:space="preserve">Prüfungsleistung: </w:t>
            </w:r>
          </w:p>
          <w:p>
            <w:pPr>
              <w:pStyle w:val="Listenabsatz"/>
              <w:numPr>
                <w:ilvl w:val="0"/>
                <w:numId w:val="2"/>
              </w:numPr>
            </w:pPr>
            <w:r>
              <w:t>Referat (ca. 30 min.)</w:t>
            </w:r>
          </w:p>
          <w:p>
            <w:pPr>
              <w:pStyle w:val="Aufzhlung"/>
              <w:numPr>
                <w:ilvl w:val="0"/>
                <w:numId w:val="0"/>
              </w:numPr>
              <w:ind w:left="448" w:hanging="354"/>
            </w:pPr>
          </w:p>
          <w:p>
            <w:pPr>
              <w:rPr>
                <w:rFonts w:eastAsia="Arial" w:cs="Arial"/>
                <w:color w:val="000000"/>
              </w:rPr>
            </w:pPr>
            <w:r>
              <w:rPr>
                <w:rFonts w:eastAsia="Arial" w:cs="Arial"/>
                <w:color w:val="000000"/>
              </w:rPr>
              <w:t>Die Modulnote entspricht der Note der Prüfungsleistung.</w:t>
            </w:r>
          </w:p>
          <w:p>
            <w:pPr>
              <w:spacing w:line="256" w:lineRule="auto"/>
              <w:ind w:left="0" w:firstLine="0"/>
            </w:pPr>
          </w:p>
          <w:p>
            <w:pPr>
              <w:spacing w:line="256" w:lineRule="auto"/>
              <w:ind w:left="0" w:firstLine="0"/>
              <w:rPr>
                <w:rFonts w:eastAsia="Arial" w:cs="Arial"/>
                <w:color w:val="000000"/>
                <w:lang w:val="en-US"/>
              </w:rPr>
            </w:pPr>
            <w:r>
              <w:rPr>
                <w:rFonts w:eastAsia="Arial" w:cs="Arial"/>
                <w:color w:val="000000"/>
                <w:lang w:val="en-US"/>
              </w:rPr>
              <w:t>(</w:t>
            </w:r>
            <w:proofErr w:type="spellStart"/>
            <w:r>
              <w:rPr>
                <w:rFonts w:eastAsia="Arial" w:cs="Arial"/>
                <w:color w:val="000000"/>
                <w:lang w:val="en-US"/>
              </w:rPr>
              <w:t>en</w:t>
            </w:r>
            <w:proofErr w:type="spellEnd"/>
            <w:r>
              <w:rPr>
                <w:rFonts w:eastAsia="Arial" w:cs="Arial"/>
                <w:color w:val="000000"/>
                <w:lang w:val="en-US"/>
              </w:rPr>
              <w:t>)</w:t>
            </w:r>
          </w:p>
          <w:p>
            <w:pPr>
              <w:pStyle w:val="Aufzhlung"/>
              <w:numPr>
                <w:ilvl w:val="0"/>
                <w:numId w:val="0"/>
              </w:numPr>
              <w:rPr>
                <w:rStyle w:val="AufzhlungZchn"/>
              </w:rPr>
            </w:pPr>
            <w:r>
              <w:rPr>
                <w:lang w:val="en-US"/>
              </w:rPr>
              <w:t xml:space="preserve">Study performance: </w:t>
            </w:r>
          </w:p>
          <w:p>
            <w:pPr>
              <w:pStyle w:val="Listenabsatz"/>
              <w:numPr>
                <w:ilvl w:val="0"/>
                <w:numId w:val="2"/>
              </w:numPr>
              <w:pBdr>
                <w:top w:val="none" w:sz="0" w:space="0" w:color="auto"/>
                <w:left w:val="none" w:sz="0" w:space="0" w:color="auto"/>
                <w:bottom w:val="none" w:sz="0" w:space="0" w:color="auto"/>
                <w:right w:val="none" w:sz="0" w:space="0" w:color="auto"/>
                <w:between w:val="none" w:sz="0" w:space="0" w:color="auto"/>
              </w:pBdr>
              <w:rPr>
                <w:lang w:val="en-US"/>
              </w:rPr>
            </w:pPr>
            <w:r>
              <w:rPr>
                <w:lang w:val="en-US"/>
              </w:rPr>
              <w:t>Presentation (incl. written project summary, hypothesis formulation) (2 ECTS)</w:t>
            </w:r>
          </w:p>
          <w:p>
            <w:pPr>
              <w:pStyle w:val="Listenabsatz"/>
              <w:numPr>
                <w:ilvl w:val="0"/>
                <w:numId w:val="2"/>
              </w:numPr>
            </w:pPr>
            <w:r>
              <w:t xml:space="preserve">Experimental </w:t>
            </w:r>
            <w:proofErr w:type="spellStart"/>
            <w:r>
              <w:t>work</w:t>
            </w:r>
            <w:proofErr w:type="spellEnd"/>
            <w:r>
              <w:t xml:space="preserve"> (8 ECTS)</w:t>
            </w:r>
          </w:p>
          <w:p>
            <w:pPr>
              <w:spacing w:line="256" w:lineRule="auto"/>
              <w:ind w:left="0" w:firstLine="0"/>
              <w:rPr>
                <w:lang w:val="en-US"/>
              </w:rPr>
            </w:pPr>
          </w:p>
          <w:p>
            <w:pPr>
              <w:spacing w:line="256" w:lineRule="auto"/>
              <w:ind w:left="0" w:firstLine="0"/>
              <w:rPr>
                <w:lang w:val="en-US"/>
              </w:rPr>
            </w:pPr>
            <w:r>
              <w:rPr>
                <w:lang w:val="en-US"/>
              </w:rPr>
              <w:t>Testing performance:</w:t>
            </w:r>
          </w:p>
          <w:p>
            <w:pPr>
              <w:pStyle w:val="Listenabsatz"/>
              <w:numPr>
                <w:ilvl w:val="0"/>
                <w:numId w:val="2"/>
              </w:numPr>
              <w:pBdr>
                <w:top w:val="none" w:sz="0" w:space="0" w:color="auto"/>
                <w:left w:val="none" w:sz="0" w:space="0" w:color="auto"/>
                <w:bottom w:val="none" w:sz="0" w:space="0" w:color="auto"/>
                <w:right w:val="none" w:sz="0" w:space="0" w:color="auto"/>
                <w:between w:val="none" w:sz="0" w:space="0" w:color="auto"/>
              </w:pBdr>
            </w:pPr>
            <w:r>
              <w:t>Research Report</w:t>
            </w:r>
          </w:p>
          <w:p>
            <w:pPr>
              <w:spacing w:line="256" w:lineRule="auto"/>
              <w:ind w:left="0" w:firstLine="0"/>
              <w:rPr>
                <w:lang w:val="en-US"/>
              </w:rPr>
            </w:pPr>
          </w:p>
          <w:p>
            <w:pPr>
              <w:rPr>
                <w:lang w:val="en-US"/>
              </w:rPr>
            </w:pPr>
            <w:r>
              <w:rPr>
                <w:rFonts w:eastAsia="Arial" w:cs="Arial"/>
                <w:color w:val="000000"/>
                <w:lang w:val="en-US"/>
              </w:rPr>
              <w:t>The final grade corresponds to the grade achieved.</w:t>
            </w:r>
          </w:p>
        </w:tc>
      </w:tr>
      <w:tr>
        <w:trPr>
          <w:cantSplit/>
          <w:trHeight w:val="23"/>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Turnus (Beginn):</w:t>
            </w:r>
          </w:p>
          <w:p>
            <w:pPr>
              <w:spacing w:line="259" w:lineRule="auto"/>
              <w:ind w:left="0" w:firstLine="0"/>
            </w:pPr>
            <w:r>
              <w:rPr>
                <w:rFonts w:eastAsia="Arial" w:cs="Arial"/>
                <w:color w:val="000000"/>
              </w:rPr>
              <w:t>jährlich Wintersemester</w:t>
            </w:r>
          </w:p>
        </w:tc>
      </w:tr>
      <w:tr>
        <w:trPr>
          <w:cantSplit/>
          <w:trHeight w:val="144"/>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Modulverantwortliche(r):</w:t>
            </w:r>
          </w:p>
          <w:p>
            <w:pPr>
              <w:spacing w:line="259" w:lineRule="auto"/>
              <w:ind w:left="0" w:firstLine="0"/>
            </w:pPr>
            <w:r>
              <w:rPr>
                <w:rFonts w:eastAsia="Arial" w:cs="Arial"/>
                <w:color w:val="000000"/>
              </w:rPr>
              <w:t>Prof. Dr. Michael Steinert</w:t>
            </w:r>
          </w:p>
        </w:tc>
      </w:tr>
      <w:tr>
        <w:trPr>
          <w:cantSplit/>
          <w:trHeight w:val="23"/>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Sprache:</w:t>
            </w:r>
          </w:p>
          <w:p>
            <w:pPr>
              <w:spacing w:line="259" w:lineRule="auto"/>
              <w:ind w:left="0" w:firstLine="0"/>
              <w:rPr>
                <w:rFonts w:eastAsia="Arial" w:cs="Arial"/>
                <w:color w:val="000000"/>
              </w:rPr>
            </w:pPr>
            <w:r>
              <w:rPr>
                <w:rFonts w:eastAsia="Arial" w:cs="Arial"/>
                <w:color w:val="000000"/>
              </w:rPr>
              <w:t>(de) Englisch</w:t>
            </w:r>
          </w:p>
          <w:p>
            <w:pPr>
              <w:spacing w:line="259" w:lineRule="auto"/>
              <w:ind w:left="0" w:firstLine="0"/>
              <w:rPr>
                <w:rFonts w:eastAsia="Arial" w:cs="Arial"/>
                <w:color w:val="000000"/>
              </w:rPr>
            </w:pPr>
            <w:r>
              <w:rPr>
                <w:rFonts w:eastAsia="Arial" w:cs="Arial"/>
                <w:color w:val="000000"/>
              </w:rPr>
              <w:t>(en) English</w:t>
            </w:r>
          </w:p>
          <w:p>
            <w:pPr>
              <w:spacing w:line="259" w:lineRule="auto"/>
              <w:ind w:left="0" w:firstLine="0"/>
              <w:rPr>
                <w:rFonts w:eastAsia="Arial" w:cs="Arial"/>
                <w:color w:val="000000"/>
              </w:rPr>
            </w:pPr>
          </w:p>
          <w:p>
            <w:pPr>
              <w:spacing w:line="259" w:lineRule="auto"/>
              <w:ind w:left="0" w:firstLine="0"/>
            </w:pPr>
            <w:r>
              <w:t>(de) Prüfungssprache: Englisch (auf Antrag kann die Prüfungssprache auf Deutsch geändert werden)</w:t>
            </w:r>
          </w:p>
          <w:p>
            <w:pPr>
              <w:spacing w:line="259" w:lineRule="auto"/>
              <w:ind w:left="0" w:firstLine="0"/>
            </w:pPr>
            <w:r>
              <w:t xml:space="preserve">(en) </w:t>
            </w:r>
            <w:proofErr w:type="spellStart"/>
            <w:r>
              <w:t>Examination</w:t>
            </w:r>
            <w:proofErr w:type="spellEnd"/>
            <w:r>
              <w:t xml:space="preserve"> </w:t>
            </w:r>
            <w:proofErr w:type="spellStart"/>
            <w:r>
              <w:t>language</w:t>
            </w:r>
            <w:proofErr w:type="spellEnd"/>
            <w:r>
              <w:t>: English (</w:t>
            </w:r>
            <w:proofErr w:type="spellStart"/>
            <w:r>
              <w:t>the</w:t>
            </w:r>
            <w:proofErr w:type="spellEnd"/>
            <w:r>
              <w:t xml:space="preserve"> </w:t>
            </w:r>
            <w:proofErr w:type="spellStart"/>
            <w:r>
              <w:t>examination</w:t>
            </w:r>
            <w:proofErr w:type="spellEnd"/>
            <w:r>
              <w:t xml:space="preserve"> </w:t>
            </w:r>
            <w:proofErr w:type="spellStart"/>
            <w:r>
              <w:t>language</w:t>
            </w:r>
            <w:proofErr w:type="spellEnd"/>
            <w:r>
              <w:t xml:space="preserve"> </w:t>
            </w:r>
            <w:proofErr w:type="spellStart"/>
            <w:r>
              <w:t>can</w:t>
            </w:r>
            <w:proofErr w:type="spellEnd"/>
            <w:r>
              <w:t xml:space="preserve"> </w:t>
            </w:r>
            <w:proofErr w:type="spellStart"/>
            <w:r>
              <w:t>be</w:t>
            </w:r>
            <w:proofErr w:type="spellEnd"/>
            <w:r>
              <w:t xml:space="preserve"> </w:t>
            </w:r>
            <w:proofErr w:type="spellStart"/>
            <w:r>
              <w:t>changed</w:t>
            </w:r>
            <w:proofErr w:type="spellEnd"/>
            <w:r>
              <w:t xml:space="preserve"> </w:t>
            </w:r>
            <w:proofErr w:type="spellStart"/>
            <w:r>
              <w:t>to</w:t>
            </w:r>
            <w:proofErr w:type="spellEnd"/>
            <w:r>
              <w:t xml:space="preserve"> German on </w:t>
            </w:r>
            <w:proofErr w:type="spellStart"/>
            <w:r>
              <w:t>request</w:t>
            </w:r>
            <w:proofErr w:type="spellEnd"/>
            <w:r>
              <w:t>)</w:t>
            </w:r>
          </w:p>
        </w:tc>
      </w:tr>
      <w:tr>
        <w:trPr>
          <w:cantSplit/>
          <w:trHeight w:val="23"/>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Medienformen:</w:t>
            </w:r>
          </w:p>
          <w:p>
            <w:pPr>
              <w:spacing w:line="259" w:lineRule="auto"/>
              <w:ind w:left="0" w:firstLine="0"/>
            </w:pPr>
            <w:r>
              <w:t>(de) Präsenz- und Online-Vorlesung (Hybrid)</w:t>
            </w:r>
          </w:p>
          <w:p>
            <w:pPr>
              <w:spacing w:line="259" w:lineRule="auto"/>
              <w:ind w:left="0" w:firstLine="0"/>
            </w:pPr>
            <w:r>
              <w:t xml:space="preserve">(en) </w:t>
            </w:r>
            <w:proofErr w:type="spellStart"/>
            <w:r>
              <w:t>Classroom</w:t>
            </w:r>
            <w:proofErr w:type="spellEnd"/>
            <w:r>
              <w:t xml:space="preserve"> </w:t>
            </w:r>
            <w:proofErr w:type="spellStart"/>
            <w:r>
              <w:t>and</w:t>
            </w:r>
            <w:proofErr w:type="spellEnd"/>
            <w:r>
              <w:t xml:space="preserve"> online </w:t>
            </w:r>
            <w:proofErr w:type="spellStart"/>
            <w:r>
              <w:t>lecture</w:t>
            </w:r>
            <w:proofErr w:type="spellEnd"/>
            <w:r>
              <w:t xml:space="preserve"> (hybrid)</w:t>
            </w:r>
          </w:p>
        </w:tc>
      </w:tr>
      <w:tr>
        <w:trPr>
          <w:cantSplit/>
          <w:trHeight w:val="551"/>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Literatur:</w:t>
            </w:r>
          </w:p>
          <w:p>
            <w:pPr>
              <w:pStyle w:val="Listenabsatz"/>
              <w:numPr>
                <w:ilvl w:val="0"/>
                <w:numId w:val="0"/>
              </w:numPr>
              <w:ind w:left="7"/>
            </w:pPr>
            <w:r>
              <w:t>(de) Artikel: aktuelle Publikationen (englisch) zur Thematik</w:t>
            </w:r>
          </w:p>
          <w:p>
            <w:pPr>
              <w:pStyle w:val="Listenabsatz"/>
              <w:numPr>
                <w:ilvl w:val="0"/>
                <w:numId w:val="0"/>
              </w:numPr>
              <w:ind w:left="7"/>
            </w:pPr>
            <w:r>
              <w:t xml:space="preserve">(en) </w:t>
            </w:r>
            <w:proofErr w:type="spellStart"/>
            <w:r>
              <w:t>Articles</w:t>
            </w:r>
            <w:proofErr w:type="spellEnd"/>
            <w:r>
              <w:t xml:space="preserve">: </w:t>
            </w:r>
            <w:proofErr w:type="spellStart"/>
            <w:r>
              <w:t>current</w:t>
            </w:r>
            <w:proofErr w:type="spellEnd"/>
            <w:r>
              <w:t xml:space="preserve"> </w:t>
            </w:r>
            <w:proofErr w:type="spellStart"/>
            <w:r>
              <w:t>publications</w:t>
            </w:r>
            <w:proofErr w:type="spellEnd"/>
            <w:r>
              <w:t xml:space="preserve"> on </w:t>
            </w:r>
            <w:proofErr w:type="spellStart"/>
            <w:r>
              <w:t>the</w:t>
            </w:r>
            <w:proofErr w:type="spellEnd"/>
            <w:r>
              <w:t xml:space="preserve"> </w:t>
            </w:r>
            <w:proofErr w:type="spellStart"/>
            <w:r>
              <w:t>topic</w:t>
            </w:r>
            <w:proofErr w:type="spellEnd"/>
          </w:p>
        </w:tc>
      </w:tr>
      <w:tr>
        <w:trPr>
          <w:cantSplit/>
          <w:trHeight w:val="1266"/>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Erklärender Kommentar:</w:t>
            </w:r>
          </w:p>
          <w:p>
            <w:pPr>
              <w:spacing w:line="259" w:lineRule="auto"/>
              <w:ind w:left="0" w:firstLine="0"/>
              <w:rPr>
                <w:rFonts w:eastAsia="Arial" w:cs="Arial"/>
                <w:color w:val="000000"/>
              </w:rPr>
            </w:pPr>
            <w:r>
              <w:rPr>
                <w:rFonts w:eastAsia="Arial" w:cs="Arial"/>
                <w:color w:val="000000"/>
              </w:rPr>
              <w:t>(de)</w:t>
            </w:r>
          </w:p>
          <w:p>
            <w:pPr>
              <w:spacing w:line="259" w:lineRule="auto"/>
              <w:ind w:left="0" w:firstLine="0"/>
            </w:pPr>
            <w:r>
              <w:rPr>
                <w:rFonts w:eastAsia="Arial" w:cs="Arial"/>
                <w:color w:val="000000"/>
              </w:rPr>
              <w:t>Voraussetzungen für dieses Modul:</w:t>
            </w:r>
          </w:p>
          <w:p>
            <w:pPr>
              <w:spacing w:after="240" w:line="250" w:lineRule="auto"/>
              <w:ind w:left="0" w:right="8301" w:firstLine="0"/>
            </w:pPr>
            <w:r>
              <w:rPr>
                <w:rFonts w:eastAsia="Arial" w:cs="Arial"/>
                <w:color w:val="000000"/>
              </w:rPr>
              <w:t>zwingend: keine empfohlen: keine</w:t>
            </w:r>
          </w:p>
          <w:p>
            <w:pPr>
              <w:spacing w:line="259" w:lineRule="auto"/>
              <w:ind w:left="0" w:firstLine="0"/>
            </w:pPr>
            <w:r>
              <w:rPr>
                <w:rFonts w:eastAsia="Arial" w:cs="Arial"/>
                <w:color w:val="000000"/>
              </w:rPr>
              <w:t>Sprache:</w:t>
            </w:r>
          </w:p>
          <w:p>
            <w:pPr>
              <w:spacing w:line="259" w:lineRule="auto"/>
              <w:ind w:left="0" w:firstLine="0"/>
              <w:rPr>
                <w:rFonts w:eastAsia="Arial" w:cs="Arial"/>
                <w:color w:val="000000"/>
              </w:rPr>
            </w:pPr>
            <w:r>
              <w:rPr>
                <w:rFonts w:eastAsia="Arial" w:cs="Arial"/>
                <w:color w:val="000000"/>
              </w:rPr>
              <w:t>Englisch</w:t>
            </w:r>
          </w:p>
          <w:p>
            <w:pPr>
              <w:spacing w:line="259" w:lineRule="auto"/>
              <w:ind w:left="0" w:firstLine="0"/>
              <w:rPr>
                <w:rFonts w:eastAsia="Arial" w:cs="Arial"/>
                <w:color w:val="000000"/>
              </w:rPr>
            </w:pPr>
          </w:p>
          <w:p>
            <w:pPr>
              <w:spacing w:line="259" w:lineRule="auto"/>
              <w:ind w:left="0" w:firstLine="0"/>
            </w:pPr>
            <w:r>
              <w:t>Das Entry-Modul soll für den Studienanfang eine Willkommenskultur etablieren, fachliche und organisatorische Orientierung für den Masterstudiengang Biologie, Vernetzungsmöglichkeiten für und mit den „</w:t>
            </w:r>
            <w:proofErr w:type="spellStart"/>
            <w:r>
              <w:t>Incomings</w:t>
            </w:r>
            <w:proofErr w:type="spellEnd"/>
            <w:r>
              <w:t>“ und den Einstieg in englischsprachige Lehrveranstaltungen bieten.</w:t>
            </w:r>
          </w:p>
          <w:p>
            <w:pPr>
              <w:spacing w:line="259" w:lineRule="auto"/>
              <w:ind w:left="0" w:firstLine="0"/>
            </w:pPr>
          </w:p>
          <w:p>
            <w:pPr>
              <w:spacing w:line="259" w:lineRule="auto"/>
              <w:ind w:left="0" w:right="8348" w:firstLine="0"/>
              <w:rPr>
                <w:rFonts w:eastAsia="Arial" w:cs="Arial"/>
                <w:color w:val="000000"/>
              </w:rPr>
            </w:pPr>
            <w:r>
              <w:rPr>
                <w:rFonts w:eastAsia="Arial" w:cs="Arial"/>
                <w:color w:val="000000"/>
              </w:rPr>
              <w:t>(en)</w:t>
            </w:r>
          </w:p>
          <w:p>
            <w:pPr>
              <w:rPr>
                <w:lang w:val="en-US"/>
              </w:rPr>
            </w:pPr>
            <w:r>
              <w:rPr>
                <w:lang w:val="en-US"/>
              </w:rPr>
              <w:t>Requirements for choosing this module</w:t>
            </w:r>
          </w:p>
          <w:p>
            <w:pPr>
              <w:rPr>
                <w:lang w:val="en-US"/>
              </w:rPr>
            </w:pPr>
            <w:r>
              <w:rPr>
                <w:lang w:val="en-US"/>
              </w:rPr>
              <w:t>Obligatory: none</w:t>
            </w:r>
          </w:p>
          <w:p>
            <w:pPr>
              <w:spacing w:line="259" w:lineRule="auto"/>
              <w:ind w:left="0" w:firstLine="0"/>
              <w:rPr>
                <w:lang w:val="en-US"/>
              </w:rPr>
            </w:pPr>
            <w:r>
              <w:rPr>
                <w:lang w:val="en-US"/>
              </w:rPr>
              <w:t>Recommended: none</w:t>
            </w:r>
          </w:p>
          <w:p>
            <w:pPr>
              <w:spacing w:line="259" w:lineRule="auto"/>
              <w:ind w:left="0" w:firstLine="0"/>
              <w:rPr>
                <w:lang w:val="en-US"/>
              </w:rPr>
            </w:pPr>
          </w:p>
          <w:p>
            <w:pPr>
              <w:spacing w:line="259" w:lineRule="auto"/>
              <w:ind w:left="0" w:firstLine="0"/>
              <w:rPr>
                <w:lang w:val="en-US"/>
              </w:rPr>
            </w:pPr>
            <w:r>
              <w:rPr>
                <w:lang w:val="en-US"/>
              </w:rPr>
              <w:t>Language: English</w:t>
            </w:r>
          </w:p>
          <w:p>
            <w:pPr>
              <w:spacing w:line="259" w:lineRule="auto"/>
              <w:ind w:left="0" w:firstLine="0"/>
              <w:rPr>
                <w:lang w:val="en-US"/>
              </w:rPr>
            </w:pPr>
          </w:p>
          <w:p>
            <w:pPr>
              <w:spacing w:line="259" w:lineRule="auto"/>
              <w:ind w:left="0" w:firstLine="0"/>
              <w:rPr>
                <w:lang w:val="en-US"/>
              </w:rPr>
            </w:pPr>
            <w:r>
              <w:rPr>
                <w:lang w:val="en-US"/>
              </w:rPr>
              <w:t xml:space="preserve">The entry module </w:t>
            </w:r>
            <w:proofErr w:type="gramStart"/>
            <w:r>
              <w:rPr>
                <w:lang w:val="en-US"/>
              </w:rPr>
              <w:t>is intended</w:t>
            </w:r>
            <w:proofErr w:type="gramEnd"/>
            <w:r>
              <w:rPr>
                <w:lang w:val="en-US"/>
              </w:rPr>
              <w:t xml:space="preserve"> to establish a welcoming culture for the beginning of studies, provide subject-specific and organizational orientation for the Master's degree course in Biology, networking opportunities for and with the “incomings” and an introduction to courses taught in English.</w:t>
            </w:r>
            <w:bookmarkStart w:id="1" w:name="_GoBack"/>
            <w:bookmarkEnd w:id="1"/>
          </w:p>
        </w:tc>
      </w:tr>
      <w:tr>
        <w:trPr>
          <w:cantSplit/>
          <w:trHeight w:val="23"/>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Kategorien (Modulgruppen):</w:t>
            </w:r>
          </w:p>
          <w:p>
            <w:pPr>
              <w:spacing w:line="259" w:lineRule="auto"/>
              <w:ind w:left="0" w:firstLine="0"/>
            </w:pPr>
            <w:r>
              <w:rPr>
                <w:rFonts w:eastAsia="Arial" w:cs="Arial"/>
                <w:color w:val="000000"/>
              </w:rPr>
              <w:t>Mikrobiologie und Infektionsbiologie (MI) - Wahlpflicht</w:t>
            </w:r>
          </w:p>
        </w:tc>
      </w:tr>
      <w:tr>
        <w:tblPrEx>
          <w:tblCellMar>
            <w:right w:w="70" w:type="dxa"/>
          </w:tblCellMar>
        </w:tblPrEx>
        <w:trPr>
          <w:cantSplit/>
          <w:trHeight w:val="23"/>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Voraussetzungen für dieses Modul:</w:t>
            </w:r>
          </w:p>
          <w:p>
            <w:pPr>
              <w:spacing w:line="259" w:lineRule="auto"/>
              <w:ind w:left="0" w:firstLine="0"/>
            </w:pPr>
            <w:r>
              <w:rPr>
                <w:rFonts w:eastAsia="Arial" w:cs="Arial"/>
                <w:color w:val="000000"/>
              </w:rPr>
              <w:t xml:space="preserve">Teilnahmevoraussetzungen siehe Besondere Prüfungsordnung Biologie </w:t>
            </w:r>
          </w:p>
        </w:tc>
      </w:tr>
      <w:tr>
        <w:trPr>
          <w:cantSplit/>
          <w:trHeight w:val="23"/>
        </w:trPr>
        <w:tc>
          <w:tcPr>
            <w:tcW w:w="10900" w:type="dxa"/>
            <w:gridSpan w:val="2"/>
            <w:tcBorders>
              <w:top w:val="single" w:sz="4" w:space="0" w:color="000000"/>
              <w:left w:val="single" w:sz="4" w:space="0" w:color="000000"/>
              <w:bottom w:val="single" w:sz="4" w:space="0" w:color="000000"/>
              <w:right w:val="single" w:sz="4" w:space="0" w:color="000000"/>
            </w:tcBorders>
          </w:tcPr>
          <w:p>
            <w:pPr>
              <w:spacing w:line="259" w:lineRule="auto"/>
              <w:ind w:left="0" w:firstLine="0"/>
            </w:pPr>
            <w:r>
              <w:rPr>
                <w:color w:val="666767"/>
                <w:sz w:val="18"/>
              </w:rPr>
              <w:t>Studiengänge:</w:t>
            </w:r>
          </w:p>
          <w:p>
            <w:pPr>
              <w:spacing w:line="259" w:lineRule="auto"/>
              <w:ind w:left="0" w:firstLine="0"/>
            </w:pPr>
            <w:r>
              <w:rPr>
                <w:rFonts w:eastAsia="Arial" w:cs="Arial"/>
                <w:color w:val="000000"/>
              </w:rPr>
              <w:t>Biologie (Master), Biotechnologie (Master)</w:t>
            </w:r>
          </w:p>
        </w:tc>
      </w:tr>
    </w:tbl>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exusSansPr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D5A21"/>
    <w:multiLevelType w:val="hybridMultilevel"/>
    <w:tmpl w:val="CA5828EC"/>
    <w:lvl w:ilvl="0" w:tplc="A43ACFBE">
      <w:numFmt w:val="bullet"/>
      <w:lvlText w:val="-"/>
      <w:lvlJc w:val="left"/>
      <w:pPr>
        <w:ind w:left="360" w:hanging="360"/>
      </w:pPr>
      <w:rPr>
        <w:rFonts w:ascii="Arial" w:eastAsia="NexusSansPro"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AF75EA5"/>
    <w:multiLevelType w:val="hybridMultilevel"/>
    <w:tmpl w:val="DA3E2E9A"/>
    <w:lvl w:ilvl="0" w:tplc="BBE24CD8">
      <w:start w:val="1"/>
      <w:numFmt w:val="bullet"/>
      <w:pStyle w:val="Listenabsatz"/>
      <w:lvlText w:val="-"/>
      <w:lvlJc w:val="left"/>
      <w:pPr>
        <w:ind w:left="7"/>
      </w:pPr>
      <w:rPr>
        <w:rFonts w:ascii="Arial" w:eastAsia="Arial" w:hAnsi="Arial" w:cs="Arial"/>
        <w:b w:val="0"/>
        <w:i w:val="0"/>
        <w:strike w:val="0"/>
        <w:dstrike w:val="0"/>
        <w:color w:val="000000"/>
        <w:sz w:val="20"/>
        <w:szCs w:val="20"/>
        <w:u w:val="none"/>
        <w:shd w:val="clear" w:color="auto" w:fill="auto"/>
        <w:vertAlign w:val="baseline"/>
      </w:rPr>
    </w:lvl>
    <w:lvl w:ilvl="1" w:tplc="6FF46C9A">
      <w:start w:val="1"/>
      <w:numFmt w:val="bullet"/>
      <w:lvlText w:val="o"/>
      <w:lvlJc w:val="left"/>
      <w:pPr>
        <w:ind w:left="1164" w:hanging="357"/>
      </w:pPr>
      <w:rPr>
        <w:rFonts w:ascii="Courier New" w:hAnsi="Courier New" w:cs="Courier New" w:hint="default"/>
      </w:rPr>
    </w:lvl>
    <w:lvl w:ilvl="2" w:tplc="D2AC8864">
      <w:start w:val="1"/>
      <w:numFmt w:val="bullet"/>
      <w:lvlText w:val=""/>
      <w:lvlJc w:val="left"/>
      <w:pPr>
        <w:ind w:left="1884" w:hanging="357"/>
      </w:pPr>
      <w:rPr>
        <w:rFonts w:ascii="Wingdings" w:hAnsi="Wingdings" w:hint="default"/>
      </w:rPr>
    </w:lvl>
    <w:lvl w:ilvl="3" w:tplc="C630B134">
      <w:start w:val="1"/>
      <w:numFmt w:val="bullet"/>
      <w:lvlText w:val=""/>
      <w:lvlJc w:val="left"/>
      <w:pPr>
        <w:ind w:left="2604" w:hanging="357"/>
      </w:pPr>
      <w:rPr>
        <w:rFonts w:ascii="Symbol" w:hAnsi="Symbol" w:hint="default"/>
      </w:rPr>
    </w:lvl>
    <w:lvl w:ilvl="4" w:tplc="9AC8798A">
      <w:start w:val="1"/>
      <w:numFmt w:val="bullet"/>
      <w:lvlText w:val="o"/>
      <w:lvlJc w:val="left"/>
      <w:pPr>
        <w:ind w:left="3324" w:hanging="357"/>
      </w:pPr>
      <w:rPr>
        <w:rFonts w:ascii="Courier New" w:hAnsi="Courier New" w:cs="Courier New" w:hint="default"/>
      </w:rPr>
    </w:lvl>
    <w:lvl w:ilvl="5" w:tplc="3D8EBB6C">
      <w:start w:val="1"/>
      <w:numFmt w:val="bullet"/>
      <w:lvlText w:val=""/>
      <w:lvlJc w:val="left"/>
      <w:pPr>
        <w:ind w:left="4044" w:hanging="357"/>
      </w:pPr>
      <w:rPr>
        <w:rFonts w:ascii="Wingdings" w:hAnsi="Wingdings" w:hint="default"/>
      </w:rPr>
    </w:lvl>
    <w:lvl w:ilvl="6" w:tplc="98A6A75A">
      <w:start w:val="1"/>
      <w:numFmt w:val="bullet"/>
      <w:lvlText w:val=""/>
      <w:lvlJc w:val="left"/>
      <w:pPr>
        <w:ind w:left="4764" w:hanging="357"/>
      </w:pPr>
      <w:rPr>
        <w:rFonts w:ascii="Symbol" w:hAnsi="Symbol" w:hint="default"/>
      </w:rPr>
    </w:lvl>
    <w:lvl w:ilvl="7" w:tplc="D18C7846">
      <w:start w:val="1"/>
      <w:numFmt w:val="bullet"/>
      <w:lvlText w:val="o"/>
      <w:lvlJc w:val="left"/>
      <w:pPr>
        <w:ind w:left="5484" w:hanging="357"/>
      </w:pPr>
      <w:rPr>
        <w:rFonts w:ascii="Courier New" w:hAnsi="Courier New" w:cs="Courier New" w:hint="default"/>
      </w:rPr>
    </w:lvl>
    <w:lvl w:ilvl="8" w:tplc="9710B2F8">
      <w:start w:val="1"/>
      <w:numFmt w:val="bullet"/>
      <w:lvlText w:val=""/>
      <w:lvlJc w:val="left"/>
      <w:pPr>
        <w:ind w:left="6204" w:hanging="357"/>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B0CB1-EB53-4555-AC4B-3DC52A86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pBdr>
        <w:top w:val="none" w:sz="4" w:space="0" w:color="000000"/>
        <w:left w:val="none" w:sz="4" w:space="0" w:color="000000"/>
        <w:bottom w:val="none" w:sz="4" w:space="0" w:color="000000"/>
        <w:right w:val="none" w:sz="4" w:space="0" w:color="000000"/>
        <w:between w:val="none" w:sz="4" w:space="0" w:color="000000"/>
      </w:pBdr>
      <w:spacing w:after="0" w:line="265" w:lineRule="auto"/>
      <w:ind w:left="10" w:hanging="7"/>
    </w:pPr>
    <w:rPr>
      <w:rFonts w:ascii="Arial" w:eastAsia="NexusSansPro" w:hAnsi="Arial" w:cs="NexusSansPro"/>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1">
    <w:name w:val="Überschrift 21"/>
    <w:basedOn w:val="Standard"/>
    <w:next w:val="Standard"/>
    <w:link w:val="berschrift2Zchn"/>
    <w:uiPriority w:val="9"/>
    <w:unhideWhenUsed/>
    <w:qFormat/>
    <w:pPr>
      <w:spacing w:line="259" w:lineRule="auto"/>
      <w:ind w:left="0" w:firstLine="0"/>
      <w:outlineLvl w:val="1"/>
    </w:pPr>
    <w:rPr>
      <w:rFonts w:eastAsia="Arial" w:cs="Arial"/>
      <w:b/>
      <w:color w:val="000000"/>
    </w:rPr>
  </w:style>
  <w:style w:type="table" w:customStyle="1" w:styleId="Tabellengitternetz1">
    <w:name w:val="Tabellengitternetz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de-DE"/>
    </w:rPr>
    <w:tblPr>
      <w:tblCellMar>
        <w:top w:w="0" w:type="dxa"/>
        <w:left w:w="0" w:type="dxa"/>
        <w:bottom w:w="0" w:type="dxa"/>
        <w:right w:w="0" w:type="dxa"/>
      </w:tblCellMar>
    </w:tblPr>
  </w:style>
  <w:style w:type="character" w:customStyle="1" w:styleId="berschrift2Zchn">
    <w:name w:val="Überschrift 2 Zchn"/>
    <w:basedOn w:val="Absatz-Standardschriftart"/>
    <w:link w:val="berschrift21"/>
    <w:uiPriority w:val="9"/>
    <w:rPr>
      <w:rFonts w:ascii="Arial" w:eastAsia="Arial" w:hAnsi="Arial" w:cs="Arial"/>
      <w:b/>
      <w:color w:val="000000"/>
      <w:sz w:val="20"/>
      <w:lang w:eastAsia="de-DE"/>
    </w:rPr>
  </w:style>
  <w:style w:type="paragraph" w:styleId="Listenabsatz">
    <w:name w:val="List Paragraph"/>
    <w:basedOn w:val="Standard"/>
    <w:link w:val="ListenabsatzZchn"/>
    <w:uiPriority w:val="34"/>
    <w:qFormat/>
    <w:pPr>
      <w:numPr>
        <w:numId w:val="1"/>
      </w:numPr>
      <w:spacing w:line="259" w:lineRule="auto"/>
      <w:contextualSpacing/>
    </w:pPr>
    <w:rPr>
      <w:rFonts w:eastAsia="Arial" w:cs="Arial"/>
      <w:color w:val="000000"/>
    </w:rPr>
  </w:style>
  <w:style w:type="paragraph" w:customStyle="1" w:styleId="Aufzhlung">
    <w:name w:val="Aufzählung"/>
    <w:basedOn w:val="Listenabsatz"/>
    <w:link w:val="AufzhlungZchn"/>
    <w:qFormat/>
  </w:style>
  <w:style w:type="character" w:customStyle="1" w:styleId="ListenabsatzZchn">
    <w:name w:val="Listenabsatz Zchn"/>
    <w:basedOn w:val="Absatz-Standardschriftart"/>
    <w:link w:val="Listenabsatz"/>
    <w:uiPriority w:val="34"/>
    <w:rPr>
      <w:rFonts w:ascii="Arial" w:eastAsia="Arial" w:hAnsi="Arial" w:cs="Arial"/>
      <w:color w:val="000000"/>
      <w:sz w:val="20"/>
      <w:lang w:eastAsia="de-DE"/>
    </w:rPr>
  </w:style>
  <w:style w:type="character" w:customStyle="1" w:styleId="AufzhlungZchn">
    <w:name w:val="Aufzählung Zchn"/>
    <w:basedOn w:val="ListenabsatzZchn"/>
    <w:link w:val="Aufzhlung"/>
    <w:qFormat/>
    <w:rPr>
      <w:rFonts w:ascii="Arial" w:eastAsia="Arial" w:hAnsi="Arial" w:cs="Arial"/>
      <w:color w:val="000000"/>
      <w:sz w:val="20"/>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eastAsia="NexusSansPro" w:hAnsi="Arial" w:cs="NexusSansPro"/>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6323">
      <w:bodyDiv w:val="1"/>
      <w:marLeft w:val="0"/>
      <w:marRight w:val="0"/>
      <w:marTop w:val="0"/>
      <w:marBottom w:val="0"/>
      <w:divBdr>
        <w:top w:val="none" w:sz="0" w:space="0" w:color="auto"/>
        <w:left w:val="none" w:sz="0" w:space="0" w:color="auto"/>
        <w:bottom w:val="none" w:sz="0" w:space="0" w:color="auto"/>
        <w:right w:val="none" w:sz="0" w:space="0" w:color="auto"/>
      </w:divBdr>
    </w:div>
    <w:div w:id="1533150600">
      <w:bodyDiv w:val="1"/>
      <w:marLeft w:val="0"/>
      <w:marRight w:val="0"/>
      <w:marTop w:val="0"/>
      <w:marBottom w:val="0"/>
      <w:divBdr>
        <w:top w:val="none" w:sz="0" w:space="0" w:color="auto"/>
        <w:left w:val="none" w:sz="0" w:space="0" w:color="auto"/>
        <w:bottom w:val="none" w:sz="0" w:space="0" w:color="auto"/>
        <w:right w:val="none" w:sz="0" w:space="0" w:color="auto"/>
      </w:divBdr>
    </w:div>
    <w:div w:id="16451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8225</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TU Braunschweig, Verwaltung</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Mohagheghi, Hoda</dc:creator>
  <cp:keywords/>
  <dc:description/>
  <cp:lastModifiedBy>Mohagheghi, Hoda</cp:lastModifiedBy>
  <cp:revision>2</cp:revision>
  <dcterms:created xsi:type="dcterms:W3CDTF">2025-03-13T10:22:00Z</dcterms:created>
  <dcterms:modified xsi:type="dcterms:W3CDTF">2025-03-13T10:22:00Z</dcterms:modified>
</cp:coreProperties>
</file>